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4F802FE1" w14:textId="77777777" w:rsidR="00C47D52" w:rsidRPr="00510924" w:rsidRDefault="00C47D52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36A03BD" w14:textId="04AE620B" w:rsidR="00890AAB" w:rsidRPr="00510924" w:rsidRDefault="0056309B" w:rsidP="0056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rFonts w:ascii="MyriadPro-Bold" w:eastAsiaTheme="minorHAnsi" w:hAnsi="MyriadPro-Bold" w:cs="MyriadPro-Bold"/>
          <w:b/>
          <w:bCs/>
          <w:color w:val="000000"/>
          <w:sz w:val="32"/>
          <w:szCs w:val="32"/>
          <w:lang w:val="en-GB" w:eastAsia="en-US"/>
        </w:rPr>
        <w:t>Communicating bad news to the patient</w:t>
      </w:r>
    </w:p>
    <w:p w14:paraId="651E2D18" w14:textId="77777777" w:rsidR="00890AAB" w:rsidRPr="00510924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631C44BF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600CB6">
        <w:rPr>
          <w:rFonts w:ascii="Myriad Pro" w:hAnsi="Myriad Pro"/>
          <w:lang w:val="en-GB"/>
        </w:rPr>
        <w:t>surgery service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11810232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600CB6">
        <w:rPr>
          <w:rFonts w:ascii="Myriad Pro" w:hAnsi="Myriad Pro"/>
          <w:lang w:val="en-GB"/>
        </w:rPr>
        <w:t>1</w:t>
      </w:r>
      <w:r w:rsidR="00600CB6" w:rsidRPr="00600CB6">
        <w:rPr>
          <w:rFonts w:ascii="Myriad Pro" w:hAnsi="Myriad Pro"/>
          <w:vertAlign w:val="superscript"/>
          <w:lang w:val="en-GB"/>
        </w:rPr>
        <w:t>st</w:t>
      </w:r>
      <w:r w:rsidR="00600CB6">
        <w:rPr>
          <w:rFonts w:ascii="Myriad Pro" w:hAnsi="Myriad Pro"/>
          <w:lang w:val="en-GB"/>
        </w:rPr>
        <w:t xml:space="preserve"> cycle fourth year students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1D3DF2C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600CB6">
        <w:rPr>
          <w:rFonts w:ascii="Myriad Pro" w:hAnsi="Myriad Pro"/>
          <w:lang w:val="en-GB"/>
        </w:rPr>
        <w:t>10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C96D7F6" w14:textId="77777777" w:rsidR="00600CB6" w:rsidRDefault="00600CB6">
      <w:pPr>
        <w:rPr>
          <w:rFonts w:ascii="Myriad Pro" w:hAnsi="Myriad Pro"/>
          <w:lang w:val="en-GB"/>
        </w:rPr>
      </w:pPr>
    </w:p>
    <w:p w14:paraId="5DCF8514" w14:textId="5B9D3C44" w:rsidR="00075AB7" w:rsidRPr="00600CB6" w:rsidRDefault="00600CB6">
      <w:pPr>
        <w:rPr>
          <w:rFonts w:ascii="Myriad Pro" w:hAnsi="Myriad Pro"/>
          <w:lang w:val="en-GB"/>
        </w:rPr>
      </w:pPr>
      <w:r w:rsidRPr="00600CB6">
        <w:rPr>
          <w:rFonts w:ascii="Myriad Pro" w:hAnsi="Myriad Pro"/>
          <w:lang w:val="en-GB"/>
        </w:rPr>
        <w:t>A 22-year-old patient</w:t>
      </w:r>
      <w:r>
        <w:rPr>
          <w:rFonts w:ascii="Myriad Pro" w:hAnsi="Myriad Pro"/>
          <w:lang w:val="en-GB"/>
        </w:rPr>
        <w:t xml:space="preserve"> goes to emergency with intense abdominal pains in upper quadrants</w:t>
      </w:r>
      <w:r w:rsidR="00E4059D">
        <w:rPr>
          <w:rFonts w:ascii="Myriad Pro" w:hAnsi="Myriad Pro"/>
          <w:lang w:val="en-GB"/>
        </w:rPr>
        <w:t xml:space="preserve">, more noticeable in the right </w:t>
      </w:r>
      <w:proofErr w:type="spellStart"/>
      <w:r w:rsidR="00E4059D">
        <w:rPr>
          <w:rFonts w:ascii="Myriad Pro" w:hAnsi="Myriad Pro"/>
          <w:lang w:val="en-GB"/>
        </w:rPr>
        <w:t>hypochondrium</w:t>
      </w:r>
      <w:proofErr w:type="spellEnd"/>
      <w:r w:rsidR="00E4059D">
        <w:rPr>
          <w:rFonts w:ascii="Myriad Pro" w:hAnsi="Myriad Pro"/>
          <w:lang w:val="en-GB"/>
        </w:rPr>
        <w:t>, accompanied with vomiting and abdominal distension, for the past four days. She has been admitted in the surgery service for examination. Conscious, anxious, she complains a lot about pain in the abdomen.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3C0CD3F" w14:textId="7A63430F" w:rsidR="0080510C" w:rsidRPr="00510924" w:rsidRDefault="00E405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announce bad news.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Default="00EA0C70">
      <w:pPr>
        <w:rPr>
          <w:b/>
          <w:lang w:val="en-GB"/>
        </w:rPr>
      </w:pPr>
    </w:p>
    <w:p w14:paraId="47AD2EDC" w14:textId="7FEBA3C3" w:rsidR="00C47D52" w:rsidRPr="00E4059D" w:rsidRDefault="00E4059D">
      <w:pPr>
        <w:rPr>
          <w:rFonts w:ascii="Myriad Pro" w:hAnsi="Myriad Pro"/>
          <w:lang w:val="en-GB"/>
        </w:rPr>
      </w:pPr>
      <w:r w:rsidRPr="00E4059D">
        <w:rPr>
          <w:rFonts w:ascii="Myriad Pro" w:hAnsi="Myriad Pro"/>
          <w:lang w:val="en-GB"/>
        </w:rPr>
        <w:t xml:space="preserve">To identify oneself to the patient; to choose the appropriate location; </w:t>
      </w:r>
    </w:p>
    <w:p w14:paraId="6E60500B" w14:textId="42D060C2" w:rsidR="00E4059D" w:rsidRPr="00E4059D" w:rsidRDefault="00E4059D">
      <w:pPr>
        <w:rPr>
          <w:rFonts w:ascii="Myriad Pro" w:hAnsi="Myriad Pro"/>
          <w:lang w:val="en-GB"/>
        </w:rPr>
      </w:pPr>
      <w:proofErr w:type="gramStart"/>
      <w:r w:rsidRPr="00E4059D">
        <w:rPr>
          <w:rFonts w:ascii="Myriad Pro" w:hAnsi="Myriad Pro"/>
          <w:lang w:val="en-GB"/>
        </w:rPr>
        <w:t>to</w:t>
      </w:r>
      <w:proofErr w:type="gramEnd"/>
      <w:r w:rsidRPr="00E4059D">
        <w:rPr>
          <w:rFonts w:ascii="Myriad Pro" w:hAnsi="Myriad Pro"/>
          <w:lang w:val="en-GB"/>
        </w:rPr>
        <w:t xml:space="preserve"> announce the news of neoplasm</w:t>
      </w:r>
    </w:p>
    <w:p w14:paraId="0E0EF1D6" w14:textId="77777777" w:rsidR="00E4059D" w:rsidRPr="00510924" w:rsidRDefault="00E4059D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lastRenderedPageBreak/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249DFD50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724B7647" w:rsidR="00B75D40" w:rsidRPr="00E4059D" w:rsidRDefault="00E4059D" w:rsidP="000E7FC9">
            <w:pPr>
              <w:keepNext/>
              <w:rPr>
                <w:rFonts w:ascii="Myriad Pro" w:hAnsi="Myriad Pro"/>
                <w:lang w:val="en-GB"/>
              </w:rPr>
            </w:pPr>
            <w:r w:rsidRPr="00E4059D">
              <w:rPr>
                <w:rFonts w:ascii="Myriad Pro" w:hAnsi="Myriad Pro"/>
                <w:lang w:val="en-GB"/>
              </w:rPr>
              <w:t xml:space="preserve">Introduces themselves to the patient </w:t>
            </w:r>
          </w:p>
        </w:tc>
        <w:tc>
          <w:tcPr>
            <w:tcW w:w="2242" w:type="dxa"/>
          </w:tcPr>
          <w:p w14:paraId="48BC1020" w14:textId="621D214C" w:rsidR="00B75D40" w:rsidRPr="00E4059D" w:rsidRDefault="00E4059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Chooses the appropriate location and moment</w:t>
            </w:r>
          </w:p>
        </w:tc>
        <w:tc>
          <w:tcPr>
            <w:tcW w:w="2242" w:type="dxa"/>
          </w:tcPr>
          <w:p w14:paraId="71C38A24" w14:textId="12933D26" w:rsidR="00B75D40" w:rsidRPr="00E4059D" w:rsidRDefault="00E4059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Gives the bad news</w:t>
            </w: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7C6AB490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77777777" w:rsidR="00B75D40" w:rsidRPr="00E4059D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3981FB58" w14:textId="359D9ACB" w:rsidR="00B75D40" w:rsidRPr="00E4059D" w:rsidRDefault="00E4059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The doctor (trainer) is there</w:t>
            </w:r>
          </w:p>
        </w:tc>
        <w:tc>
          <w:tcPr>
            <w:tcW w:w="2242" w:type="dxa"/>
          </w:tcPr>
          <w:p w14:paraId="4A9444A5" w14:textId="7A483C3A" w:rsidR="00B75D40" w:rsidRPr="00E4059D" w:rsidRDefault="00E4059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Present, but does not speak</w:t>
            </w: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272A8FAF" w14:textId="01FEDF79" w:rsidR="00B75D40" w:rsidRPr="00510924" w:rsidRDefault="00E4059D" w:rsidP="00E4059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Facilitator – Pass information</w:t>
            </w:r>
          </w:p>
        </w:tc>
        <w:tc>
          <w:tcPr>
            <w:tcW w:w="2242" w:type="dxa"/>
          </w:tcPr>
          <w:p w14:paraId="26D6E4FF" w14:textId="29CFE7F2" w:rsidR="00B75D40" w:rsidRPr="00E4059D" w:rsidRDefault="00E4059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Guide the debrief</w:t>
            </w:r>
          </w:p>
        </w:tc>
        <w:tc>
          <w:tcPr>
            <w:tcW w:w="2242" w:type="dxa"/>
          </w:tcPr>
          <w:p w14:paraId="1D1BDBDD" w14:textId="77777777" w:rsidR="00B75D40" w:rsidRPr="00E4059D" w:rsidRDefault="00B75D40">
            <w:pPr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7339C25D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  <w:r w:rsidR="00116428">
        <w:rPr>
          <w:rFonts w:ascii="Myriad Pro" w:hAnsi="Myriad Pro"/>
          <w:lang w:val="en-GB"/>
        </w:rPr>
        <w:t>peripheral venous catheter No. 18 in the upper right limb</w:t>
      </w:r>
    </w:p>
    <w:p w14:paraId="6E2BFD78" w14:textId="4C8D71BA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  <w:r w:rsidR="00116428">
        <w:rPr>
          <w:rFonts w:ascii="Myriad Pro" w:hAnsi="Myriad Pro"/>
          <w:lang w:val="en-GB"/>
        </w:rPr>
        <w:t>O2 through oxygen tube 2 l/min</w:t>
      </w:r>
    </w:p>
    <w:p w14:paraId="28A7D19E" w14:textId="7A8BEAD3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24E4992" w14:textId="0AFC9114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116428">
        <w:rPr>
          <w:rFonts w:ascii="Myriad Pro" w:hAnsi="Myriad Pro"/>
          <w:lang w:val="en-GB"/>
        </w:rPr>
        <w:t xml:space="preserve"> saline solution</w:t>
      </w:r>
      <w:r w:rsidR="002B051F">
        <w:rPr>
          <w:rFonts w:ascii="Myriad Pro" w:hAnsi="Myriad Pro"/>
          <w:lang w:val="en-GB"/>
        </w:rPr>
        <w:t xml:space="preserve"> </w:t>
      </w:r>
      <w:r w:rsidR="002B051F">
        <w:rPr>
          <w:rFonts w:ascii="Myriad Pro" w:hAnsi="Myriad Pro"/>
          <w:lang w:val="en-GB"/>
        </w:rPr>
        <w:t>0.9%</w:t>
      </w:r>
      <w:r w:rsidR="00116428">
        <w:rPr>
          <w:rFonts w:ascii="Myriad Pro" w:hAnsi="Myriad Pro"/>
          <w:lang w:val="en-GB"/>
        </w:rPr>
        <w:t>, 1500 cc/day</w:t>
      </w:r>
      <w:r w:rsidR="00DF04ED">
        <w:rPr>
          <w:rFonts w:ascii="Myriad Pro" w:hAnsi="Myriad Pro"/>
          <w:lang w:val="en-GB"/>
        </w:rPr>
        <w:t>; metoclopramide 1 vial 12/12 h poss. and in case of pain; paracetamol 1000 mg. poss. 8/8 h</w:t>
      </w:r>
    </w:p>
    <w:p w14:paraId="10D4E6DC" w14:textId="77777777" w:rsidR="00DF04ED" w:rsidRDefault="00DF04ED" w:rsidP="00564B60">
      <w:pPr>
        <w:rPr>
          <w:rFonts w:ascii="Myriad Pro" w:hAnsi="Myriad Pro"/>
          <w:lang w:val="en-GB"/>
        </w:rPr>
      </w:pPr>
    </w:p>
    <w:p w14:paraId="3BD6852F" w14:textId="45FC3E37" w:rsidR="00564B60" w:rsidRPr="00510924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  <w:r w:rsidR="00DF04ED">
        <w:rPr>
          <w:rFonts w:ascii="Myriad Pro" w:hAnsi="Myriad Pro"/>
          <w:lang w:val="en-GB"/>
        </w:rPr>
        <w:t xml:space="preserve"> clinical file; ECG; analyses; </w:t>
      </w:r>
      <w:r w:rsidR="00DF04ED" w:rsidRPr="00DF04ED">
        <w:rPr>
          <w:rFonts w:ascii="Myriad Pro" w:hAnsi="Myriad Pro"/>
          <w:lang w:val="en-GB"/>
        </w:rPr>
        <w:t xml:space="preserve">abdominal and thoracic </w:t>
      </w:r>
      <w:r w:rsidR="00DF04ED">
        <w:rPr>
          <w:rFonts w:ascii="Myriad Pro" w:hAnsi="Myriad Pro"/>
          <w:lang w:val="en-GB"/>
        </w:rPr>
        <w:t xml:space="preserve">X-ray; </w:t>
      </w:r>
      <w:r w:rsidR="00DF04ED" w:rsidRPr="00DF04ED">
        <w:rPr>
          <w:rFonts w:ascii="Myriad Pro" w:hAnsi="Myriad Pro"/>
          <w:lang w:val="en-GB"/>
        </w:rPr>
        <w:t>abdominal-pelvic TAC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4B72C6FD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4C02F651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  <w:r w:rsidR="00DF04ED">
        <w:rPr>
          <w:rFonts w:ascii="Myriad Pro" w:hAnsi="Myriad Pro"/>
          <w:lang w:val="en-GB"/>
        </w:rPr>
        <w:t xml:space="preserve"> patient lying in a private space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54E15047" w14:textId="678854AF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2B051F">
        <w:rPr>
          <w:rFonts w:ascii="Myriad Pro" w:hAnsi="Myriad Pro"/>
          <w:lang w:val="en-GB"/>
        </w:rPr>
        <w:t>Patient cast (paleness, perspiration and abdominal ascites</w:t>
      </w:r>
    </w:p>
    <w:p w14:paraId="1E566D00" w14:textId="08BB23AF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2B051F">
        <w:rPr>
          <w:rFonts w:ascii="Myriad Pro" w:hAnsi="Myriad Pro"/>
          <w:lang w:val="en-GB"/>
        </w:rPr>
        <w:t>: Patient lying with a nasal cannula 2 l/m and 0.9% saline solution in the upper right limb</w:t>
      </w:r>
    </w:p>
    <w:p w14:paraId="35E21F74" w14:textId="5D4EE616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2B051F">
        <w:rPr>
          <w:rFonts w:ascii="Myriad Pro" w:hAnsi="Myriad Pro"/>
          <w:lang w:val="en-GB"/>
        </w:rPr>
        <w:t xml:space="preserve"> Clinical file</w:t>
      </w:r>
    </w:p>
    <w:p w14:paraId="09D75597" w14:textId="77777777" w:rsidR="00410ED6" w:rsidRPr="00510924" w:rsidRDefault="00410ED6" w:rsidP="00410ED6">
      <w:pPr>
        <w:rPr>
          <w:rFonts w:ascii="Myriad Pro" w:hAnsi="Myriad Pro"/>
          <w:b/>
          <w:lang w:val="en-GB"/>
        </w:rPr>
      </w:pPr>
    </w:p>
    <w:p w14:paraId="24FB284C" w14:textId="77777777" w:rsidR="00410ED6" w:rsidRPr="00510924" w:rsidRDefault="00410ED6" w:rsidP="00410ED6">
      <w:pPr>
        <w:rPr>
          <w:rFonts w:ascii="Myriad Pro" w:hAnsi="Myriad Pro"/>
          <w:lang w:val="en-GB"/>
        </w:rPr>
      </w:pPr>
    </w:p>
    <w:p w14:paraId="13E1BA3F" w14:textId="77777777" w:rsidR="008B4278" w:rsidRPr="00510924" w:rsidRDefault="008B4278" w:rsidP="00410ED6">
      <w:pPr>
        <w:rPr>
          <w:rFonts w:ascii="Myriad Pro" w:hAnsi="Myriad Pro"/>
          <w:lang w:val="en-GB"/>
        </w:rPr>
      </w:pPr>
    </w:p>
    <w:p w14:paraId="61AABAAE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6DC89081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65811C91" w14:textId="6A9CDCE4" w:rsidR="001966CB" w:rsidRPr="00510924" w:rsidRDefault="00AB0674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patient is lying on the bed and complaining about intense pains. She needs a quiet, private environment, such as a room where she can stay alone with the team to receive the information.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089A69D6" w14:textId="1FA4FA19" w:rsidR="00B9370D" w:rsidRPr="00510924" w:rsidRDefault="00AB0674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ECD with sinus tachycardia (120 p/min). Blood cell count with alterations of platelets (low), haemoglobin (low); </w:t>
      </w:r>
      <w:r w:rsidR="004D7C5A">
        <w:rPr>
          <w:rFonts w:ascii="Myriad Pro" w:hAnsi="Myriad Pro"/>
          <w:lang w:val="en-GB"/>
        </w:rPr>
        <w:t>neutrophilia and biochemistry with alterations of hepatic enzymes</w:t>
      </w:r>
      <w:r>
        <w:rPr>
          <w:rFonts w:ascii="Myriad Pro" w:hAnsi="Myriad Pro"/>
          <w:lang w:val="en-GB"/>
        </w:rPr>
        <w:t xml:space="preserve"> </w:t>
      </w:r>
      <w:r w:rsidR="004D7C5A">
        <w:rPr>
          <w:rFonts w:ascii="Myriad Pro" w:hAnsi="Myriad Pro"/>
          <w:lang w:val="en-GB"/>
        </w:rPr>
        <w:t xml:space="preserve">(phosphatase, very high transaminases). Scan: two hypodense, moderately contrasted, nodular images, with well-defined limits </w:t>
      </w:r>
      <w:r w:rsidR="002808FE">
        <w:rPr>
          <w:rFonts w:ascii="Myriad Pro" w:hAnsi="Myriad Pro"/>
          <w:lang w:val="en-GB"/>
        </w:rPr>
        <w:t>in the left lobe of the liver.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171B5D10" w:rsidR="00272EA6" w:rsidRPr="00510924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2808FE">
        <w:rPr>
          <w:rFonts w:ascii="Myriad Pro" w:hAnsi="Myriad Pro"/>
          <w:lang w:val="en-GB"/>
        </w:rPr>
        <w:t>not applicable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36DDB1CF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2B051F">
        <w:rPr>
          <w:rFonts w:ascii="Myriad Pro" w:hAnsi="Myriad Pro"/>
          <w:lang w:val="en-GB"/>
        </w:rPr>
        <w:t>11h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492B159D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834D224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2AC4E7CD" w:rsidR="004C69BD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</w:p>
    <w:p w14:paraId="5EFD5CB7" w14:textId="77777777" w:rsidR="009C2EFF" w:rsidRDefault="009C2EFF">
      <w:pPr>
        <w:rPr>
          <w:rFonts w:ascii="Myriad Pro" w:hAnsi="Myriad Pro"/>
          <w:lang w:val="en-GB"/>
        </w:rPr>
      </w:pPr>
    </w:p>
    <w:p w14:paraId="38DACFFE" w14:textId="4AC44F91" w:rsidR="009C2EFF" w:rsidRPr="00510924" w:rsidRDefault="00646CAB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Clinical file with medical observation and record of nursing care without clinical relevance.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678239B1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646CAB">
        <w:rPr>
          <w:rFonts w:ascii="Myriad Pro" w:hAnsi="Myriad Pro"/>
          <w:lang w:val="en-GB"/>
        </w:rPr>
        <w:t xml:space="preserve"> Mendes</w:t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  <w:r w:rsidR="007B712B">
        <w:rPr>
          <w:rFonts w:ascii="Myriad Pro" w:hAnsi="Myriad Pro"/>
          <w:lang w:val="en-GB"/>
        </w:rPr>
        <w:t xml:space="preserve"> 24</w:t>
      </w:r>
    </w:p>
    <w:p w14:paraId="37F603ED" w14:textId="28B29EC8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646CAB">
        <w:rPr>
          <w:rFonts w:ascii="Myriad Pro" w:hAnsi="Myriad Pro"/>
          <w:lang w:val="en-GB"/>
        </w:rPr>
        <w:t xml:space="preserve"> Patricia Isabel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  <w:r w:rsidR="007B712B">
        <w:rPr>
          <w:rFonts w:ascii="Myriad Pro" w:hAnsi="Myriad Pro"/>
          <w:lang w:val="en-GB"/>
        </w:rPr>
        <w:t xml:space="preserve"> 50 kg</w:t>
      </w:r>
    </w:p>
    <w:p w14:paraId="7401735C" w14:textId="6DCB3B66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646CAB">
        <w:rPr>
          <w:rFonts w:ascii="Myriad Pro" w:hAnsi="Myriad Pro"/>
          <w:lang w:val="en-GB"/>
        </w:rPr>
        <w:t xml:space="preserve"> 13/05/1995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7B712B">
        <w:rPr>
          <w:rFonts w:ascii="Myriad Pro" w:hAnsi="Myriad Pro"/>
          <w:lang w:val="en-GB"/>
        </w:rPr>
        <w:t>1.58 m</w:t>
      </w:r>
    </w:p>
    <w:p w14:paraId="76B38F92" w14:textId="3B0844BC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646CAB">
        <w:rPr>
          <w:rFonts w:ascii="Myriad Pro" w:hAnsi="Myriad Pro"/>
          <w:lang w:val="en-GB"/>
        </w:rPr>
        <w:t xml:space="preserve"> None</w:t>
      </w:r>
      <w:r w:rsidR="007B712B">
        <w:rPr>
          <w:rFonts w:ascii="Myriad Pro" w:hAnsi="Myriad Pro"/>
          <w:lang w:val="en-GB"/>
        </w:rPr>
        <w:tab/>
      </w:r>
      <w:r w:rsidR="007B712B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646CAB">
        <w:rPr>
          <w:rFonts w:ascii="Myriad Pro" w:hAnsi="Myriad Pro"/>
          <w:lang w:val="en-GB"/>
        </w:rPr>
        <w:t xml:space="preserve"> Female</w:t>
      </w:r>
    </w:p>
    <w:p w14:paraId="6197DDAE" w14:textId="16DEBBC5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646CAB" w:rsidRPr="00646CAB">
        <w:rPr>
          <w:rFonts w:ascii="Myriad Pro" w:hAnsi="Myriad Pro"/>
          <w:lang w:val="en-GB"/>
        </w:rPr>
        <w:t xml:space="preserve"> </w:t>
      </w:r>
      <w:r w:rsidR="00646CAB">
        <w:rPr>
          <w:rFonts w:ascii="Myriad Pro" w:hAnsi="Myriad Pro"/>
          <w:lang w:val="en-GB"/>
        </w:rPr>
        <w:t>No relevant history</w:t>
      </w:r>
    </w:p>
    <w:p w14:paraId="1A204FFA" w14:textId="09EC2FBE" w:rsidR="00EA0C70" w:rsidRPr="00510924" w:rsidRDefault="00DB249D">
      <w:pPr>
        <w:rPr>
          <w:rFonts w:ascii="Myriad Pro" w:hAnsi="Myriad Pro"/>
          <w:lang w:val="en-GB"/>
        </w:rPr>
      </w:pPr>
      <w:r w:rsidRPr="007B712B">
        <w:rPr>
          <w:rFonts w:ascii="Myriad Pro" w:hAnsi="Myriad Pro"/>
          <w:highlight w:val="yellow"/>
          <w:lang w:val="en-GB"/>
        </w:rPr>
        <w:t>Medical history</w:t>
      </w:r>
      <w:r w:rsidR="00EA0C70" w:rsidRPr="007B712B">
        <w:rPr>
          <w:rFonts w:ascii="Myriad Pro" w:hAnsi="Myriad Pro"/>
          <w:highlight w:val="yellow"/>
          <w:lang w:val="en-GB"/>
        </w:rPr>
        <w:t>:</w:t>
      </w:r>
      <w:r w:rsidR="004D7521" w:rsidRPr="007B712B">
        <w:rPr>
          <w:rFonts w:ascii="Myriad Pro" w:hAnsi="Myriad Pro"/>
          <w:highlight w:val="yellow"/>
          <w:lang w:val="en-GB"/>
        </w:rPr>
        <w:t xml:space="preserve"> </w:t>
      </w:r>
      <w:r w:rsidR="007B712B" w:rsidRPr="007B712B">
        <w:rPr>
          <w:rFonts w:ascii="Myriad Pro" w:hAnsi="Myriad Pro"/>
          <w:highlight w:val="yellow"/>
          <w:lang w:val="en-GB"/>
        </w:rPr>
        <w:t>does not take</w:t>
      </w:r>
    </w:p>
    <w:p w14:paraId="64A8F5A5" w14:textId="4741B75D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7B712B">
        <w:rPr>
          <w:rFonts w:ascii="Myriad Pro" w:hAnsi="Myriad Pro"/>
          <w:lang w:val="en-GB"/>
        </w:rPr>
        <w:t>none so far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3F24472C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7B712B">
        <w:rPr>
          <w:rFonts w:ascii="Myriad Pro" w:hAnsi="Myriad Pro"/>
          <w:lang w:val="en-GB"/>
        </w:rPr>
        <w:t>not applicable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  <w:bookmarkStart w:id="0" w:name="_GoBack"/>
      <w:bookmarkEnd w:id="0"/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147C6583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>90/60mm/Hg</w:t>
            </w:r>
          </w:p>
          <w:p w14:paraId="675EC8BC" w14:textId="034F0D7D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123p/min</w:t>
            </w:r>
          </w:p>
          <w:p w14:paraId="1E5F8576" w14:textId="0AC51F0C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>22cc/min</w:t>
            </w:r>
          </w:p>
          <w:p w14:paraId="518FBD3C" w14:textId="4744D066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96% with O2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70B1E99E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CC7E1C" w:rsidRPr="00CC7E1C"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745C52E6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open</w:t>
            </w:r>
          </w:p>
          <w:p w14:paraId="7B002186" w14:textId="04EBB32F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isochoric and reactive</w:t>
            </w:r>
          </w:p>
          <w:p w14:paraId="6F3C9129" w14:textId="40C9F4AB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CC7E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="00CC7E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="00CC7E1C">
              <w:rPr>
                <w:rFonts w:ascii="Myriad Pro" w:hAnsi="Myriad Pro" w:cs="Tahoma"/>
                <w:sz w:val="20"/>
                <w:szCs w:val="20"/>
                <w:lang w:val="en-GB"/>
              </w:rPr>
              <w:t>(with respiratory sounds – ascites)</w:t>
            </w:r>
          </w:p>
          <w:p w14:paraId="46722EB8" w14:textId="197ED372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1D2197" w14:textId="5DBAA6AF" w:rsidR="0049414D" w:rsidRPr="00510924" w:rsidRDefault="00CC7E1C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complaining a lot, pain 7 with abdominal ascites and breathing difficulties</w:t>
            </w: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64912" w14:textId="77777777" w:rsidR="00AB0401" w:rsidRDefault="00CC7E1C" w:rsidP="00CC7E1C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Confirm the patient’s name</w:t>
            </w:r>
          </w:p>
          <w:p w14:paraId="28E968D1" w14:textId="77777777" w:rsidR="00CC7E1C" w:rsidRDefault="00CC7E1C" w:rsidP="00CC7E1C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Introduce themselves to the patient</w:t>
            </w:r>
          </w:p>
          <w:p w14:paraId="10242914" w14:textId="77777777" w:rsidR="00CC7E1C" w:rsidRDefault="00CC7E1C" w:rsidP="00CC7E1C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Set the patient in an appropriate location</w:t>
            </w:r>
          </w:p>
          <w:p w14:paraId="56F9D715" w14:textId="4D9FA23B" w:rsidR="00CC7E1C" w:rsidRPr="00CC7E1C" w:rsidRDefault="00CC7E1C" w:rsidP="00CC7E1C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Give the bad news (diagnosis of advanced neoplasia)</w:t>
            </w:r>
            <w:r w:rsidR="006608A0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D2E40" w14:textId="5FE34A95" w:rsidR="00CF297C" w:rsidRPr="00510924" w:rsidRDefault="00CC7E1C" w:rsidP="00CC7E1C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nurse (teacher) passes the baton saying: “Isabel had an abdominal-pelvic scan showing neoplasia. She must be given the news in cooperation with the team.”</w:t>
            </w: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8E76E" w14:textId="2DB11537" w:rsidR="007810D6" w:rsidRPr="00510924" w:rsidRDefault="007810D6" w:rsidP="003D5160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31EEF" w14:textId="037B48D5" w:rsidR="00352BF8" w:rsidRPr="00510924" w:rsidRDefault="006608A0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No change of vital signs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58D0642B" w:rsidR="00A71175" w:rsidRPr="006608A0" w:rsidRDefault="006608A0" w:rsidP="006608A0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The student goes with the team and the doctor, sits down so as to face the patient in order to give her the news in a clear way.</w:t>
            </w:r>
          </w:p>
          <w:p w14:paraId="7369DEA2" w14:textId="77777777" w:rsidR="00A71175" w:rsidRPr="00510924" w:rsidRDefault="00A71175" w:rsidP="00BB1B49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8F2C603" w14:textId="77777777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F8EF320" w14:textId="323EF362" w:rsidR="00157E3B" w:rsidRPr="006608A0" w:rsidRDefault="006608A0" w:rsidP="006608A0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The doctor (teacher) goes with the patient and the nurse in an appropriate room to announce the bad news.</w:t>
            </w: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340BB624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  <w:r w:rsidR="006608A0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11h10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471E8703" w14:textId="40575E1E" w:rsidR="007810D6" w:rsidRPr="00510924" w:rsidRDefault="007810D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062AA7CF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04142A0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5942"/>
    <w:multiLevelType w:val="hybridMultilevel"/>
    <w:tmpl w:val="E31E7B48"/>
    <w:lvl w:ilvl="0" w:tplc="9482A3C2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D2B28"/>
    <w:rsid w:val="000E7FC9"/>
    <w:rsid w:val="000F2492"/>
    <w:rsid w:val="00116428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08FE"/>
    <w:rsid w:val="00282673"/>
    <w:rsid w:val="002A3CAF"/>
    <w:rsid w:val="002B051F"/>
    <w:rsid w:val="002B1DAD"/>
    <w:rsid w:val="002C72D3"/>
    <w:rsid w:val="002E26CA"/>
    <w:rsid w:val="002E323C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D7C5A"/>
    <w:rsid w:val="004E738E"/>
    <w:rsid w:val="00506F59"/>
    <w:rsid w:val="00510924"/>
    <w:rsid w:val="00533B1C"/>
    <w:rsid w:val="00537F61"/>
    <w:rsid w:val="0055575C"/>
    <w:rsid w:val="0056309B"/>
    <w:rsid w:val="00564B60"/>
    <w:rsid w:val="0057117F"/>
    <w:rsid w:val="00582E76"/>
    <w:rsid w:val="005A5C8C"/>
    <w:rsid w:val="005E0231"/>
    <w:rsid w:val="006008E7"/>
    <w:rsid w:val="00600CB6"/>
    <w:rsid w:val="00624D4B"/>
    <w:rsid w:val="00631F34"/>
    <w:rsid w:val="00646CAB"/>
    <w:rsid w:val="006608A0"/>
    <w:rsid w:val="006C1C9E"/>
    <w:rsid w:val="006E6002"/>
    <w:rsid w:val="007032F8"/>
    <w:rsid w:val="00735B91"/>
    <w:rsid w:val="007810D6"/>
    <w:rsid w:val="007A5CA0"/>
    <w:rsid w:val="007B712B"/>
    <w:rsid w:val="0080510C"/>
    <w:rsid w:val="00857317"/>
    <w:rsid w:val="00890AAB"/>
    <w:rsid w:val="00892483"/>
    <w:rsid w:val="008B4278"/>
    <w:rsid w:val="008C659D"/>
    <w:rsid w:val="008D1DD3"/>
    <w:rsid w:val="009574FF"/>
    <w:rsid w:val="009C2EFF"/>
    <w:rsid w:val="009D46BF"/>
    <w:rsid w:val="009E3C0B"/>
    <w:rsid w:val="00A03D97"/>
    <w:rsid w:val="00A705C0"/>
    <w:rsid w:val="00A71175"/>
    <w:rsid w:val="00A7413B"/>
    <w:rsid w:val="00AB0401"/>
    <w:rsid w:val="00AB0674"/>
    <w:rsid w:val="00AB373E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C7E1C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04ED"/>
    <w:rsid w:val="00DF14E0"/>
    <w:rsid w:val="00E00F99"/>
    <w:rsid w:val="00E02D7F"/>
    <w:rsid w:val="00E04E2C"/>
    <w:rsid w:val="00E4059D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8B0EB-051C-4430-99EB-30ABD55A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9</cp:revision>
  <cp:lastPrinted>2018-05-09T13:47:00Z</cp:lastPrinted>
  <dcterms:created xsi:type="dcterms:W3CDTF">2018-11-28T10:57:00Z</dcterms:created>
  <dcterms:modified xsi:type="dcterms:W3CDTF">2018-11-28T13:45:00Z</dcterms:modified>
</cp:coreProperties>
</file>