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81" w:rsidRPr="007143D2" w:rsidRDefault="00276181" w:rsidP="00ED54CB">
      <w:pPr>
        <w:spacing w:after="0" w:line="240" w:lineRule="auto"/>
        <w:jc w:val="center"/>
        <w:rPr>
          <w:rFonts w:ascii="Myriad Pro" w:eastAsia="MS Mincho" w:hAnsi="Myriad Pro" w:cs="Times New Roman"/>
          <w:b/>
          <w:sz w:val="40"/>
          <w:szCs w:val="40"/>
        </w:rPr>
      </w:pPr>
      <w:bookmarkStart w:id="0" w:name="_GoBack"/>
      <w:bookmarkEnd w:id="0"/>
      <w:r>
        <w:rPr>
          <w:rFonts w:ascii="Myriad Pro" w:hAnsi="Myriad Pro"/>
          <w:b/>
          <w:color w:val="3CAAB5"/>
          <w:sz w:val="40"/>
          <w:szCs w:val="40"/>
        </w:rPr>
        <w:t>Grelha de validação dos cenários de simulação</w:t>
      </w:r>
    </w:p>
    <w:p w:rsidR="00276181" w:rsidRDefault="00276181" w:rsidP="00C65BA6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fr-FR"/>
        </w:rPr>
      </w:pPr>
    </w:p>
    <w:p w:rsidR="00ED1795" w:rsidRPr="00593B9E" w:rsidRDefault="00ED1795" w:rsidP="00C65BA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1A7AC3" w:rsidRPr="00593B9E" w:rsidTr="00C65BA6">
        <w:trPr>
          <w:trHeight w:val="112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E9" w:rsidRDefault="00EE3E83" w:rsidP="00C65BA6">
            <w:pPr>
              <w:rPr>
                <w:rFonts w:ascii="Myriad Pro" w:hAnsi="Myriad Pro"/>
                <w:color w:val="008582"/>
                <w:sz w:val="22"/>
              </w:rPr>
            </w:pPr>
            <w:r>
              <w:rPr>
                <w:rFonts w:ascii="Myriad Pro" w:hAnsi="Myriad Pro"/>
                <w:color w:val="008582"/>
                <w:sz w:val="22"/>
              </w:rPr>
              <w:t>PROBLEMÁTICA</w:t>
            </w:r>
          </w:p>
          <w:p w:rsidR="003A77E9" w:rsidRDefault="003A77E9" w:rsidP="00C65BA6">
            <w:pPr>
              <w:rPr>
                <w:rFonts w:ascii="Myriad Pro" w:hAnsi="Myriad Pro"/>
                <w:color w:val="008582"/>
                <w:sz w:val="22"/>
              </w:rPr>
            </w:pPr>
          </w:p>
          <w:p w:rsidR="001A7AC3" w:rsidRPr="008505AA" w:rsidRDefault="001A7AC3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  <w:sz w:val="22"/>
              </w:rPr>
              <w:t>ANÁLISE DA SITUAÇÃO</w:t>
            </w:r>
            <w:r w:rsidR="005C242B" w:rsidRPr="007143D2">
              <w:rPr>
                <w:rStyle w:val="Appelnotedebasdep"/>
                <w:rFonts w:ascii="Myriad Pro" w:hAnsi="Myriad Pro"/>
                <w:color w:val="008582"/>
              </w:rPr>
              <w:footnoteReference w:id="1"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7143D2" w:rsidRDefault="005C242B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Pertinência da situação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A" w:rsidRDefault="002E1E35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Frequência da potencial repetição da   </w:t>
            </w:r>
          </w:p>
          <w:p w:rsidR="002E1E35" w:rsidRPr="008505AA" w:rsidRDefault="008505AA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situação e/ou consequências importantes</w:t>
            </w:r>
          </w:p>
          <w:p w:rsidR="00125045" w:rsidRPr="008505AA" w:rsidRDefault="00125045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Situação de risco encontrada com frequência</w:t>
            </w:r>
          </w:p>
          <w:p w:rsidR="008505AA" w:rsidRDefault="00125045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Potencial adaptação na prática    </w:t>
            </w:r>
          </w:p>
          <w:p w:rsidR="00125045" w:rsidRPr="008505AA" w:rsidRDefault="008505AA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diária</w:t>
            </w:r>
          </w:p>
          <w:p w:rsidR="00125045" w:rsidRPr="008505AA" w:rsidRDefault="00125045" w:rsidP="00C65B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A7AC3" w:rsidRPr="00593B9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C3" w:rsidRPr="007143D2" w:rsidRDefault="001A7AC3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7143D2" w:rsidRDefault="001A7AC3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Identificada por profissionais de saúde </w:t>
            </w:r>
            <w:r>
              <w:rPr>
                <w:rFonts w:ascii="Myriad Pro" w:hAnsi="Myriad Pro"/>
                <w:i/>
                <w:sz w:val="22"/>
                <w:szCs w:val="22"/>
              </w:rPr>
              <w:t>(para o projeto SimuCarePro)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AA" w:rsidRDefault="00B56EED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Realização de análises locais a acidentes ou </w:t>
            </w:r>
          </w:p>
          <w:p w:rsidR="001A7AC3" w:rsidRPr="008505AA" w:rsidRDefault="008505AA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incidentes no local (exemplo: RMM)</w:t>
            </w:r>
            <w:r w:rsidR="002C02CD" w:rsidRPr="008505AA">
              <w:rPr>
                <w:rStyle w:val="Appelnotedebasdep"/>
                <w:rFonts w:ascii="Myriad Pro" w:hAnsi="Myriad Pro"/>
                <w:sz w:val="20"/>
                <w:szCs w:val="20"/>
              </w:rPr>
              <w:footnoteReference w:id="2"/>
            </w:r>
          </w:p>
          <w:p w:rsidR="005C242B" w:rsidRPr="008505AA" w:rsidRDefault="002E1E35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Resolução de uma problemática laboral </w:t>
            </w:r>
          </w:p>
          <w:p w:rsidR="001A7AC3" w:rsidRPr="008505AA" w:rsidRDefault="00996518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Resolução de um problema de saúde pública definido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pelas instituições</w:t>
            </w:r>
          </w:p>
          <w:p w:rsidR="00125045" w:rsidRPr="008505AA" w:rsidRDefault="001E6B14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Forma como responde a um pedido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para o currículo de formação</w:t>
            </w:r>
          </w:p>
          <w:p w:rsidR="00C65BA6" w:rsidRPr="008505AA" w:rsidRDefault="00C65BA6" w:rsidP="00C65B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A7AC3" w:rsidRPr="00593B9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C3" w:rsidRPr="007143D2" w:rsidRDefault="001A7AC3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7143D2" w:rsidRDefault="001A7AC3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Identificada pelos estudantes </w:t>
            </w:r>
            <w:r>
              <w:rPr>
                <w:rFonts w:ascii="Myriad Pro" w:hAnsi="Myriad Pro"/>
                <w:i/>
                <w:sz w:val="22"/>
                <w:szCs w:val="22"/>
              </w:rPr>
              <w:t>(para o projeto SimuCarePro)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35" w:rsidRPr="008505AA" w:rsidRDefault="005C242B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Vivência durante uma fase</w:t>
            </w:r>
          </w:p>
          <w:p w:rsidR="002E1E35" w:rsidRPr="008505AA" w:rsidRDefault="005C242B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Reflexão pessoal,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temática do trabalho de fim de curso/dissertação</w:t>
            </w:r>
          </w:p>
          <w:p w:rsidR="00C65BA6" w:rsidRPr="008505AA" w:rsidRDefault="00C65BA6" w:rsidP="00C65B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A7AC3" w:rsidRPr="00593B9E" w:rsidTr="00C65BA6">
        <w:trPr>
          <w:trHeight w:val="112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C3" w:rsidRPr="007143D2" w:rsidRDefault="001A7AC3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C3" w:rsidRPr="007143D2" w:rsidRDefault="00E7164C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Coerência interna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B" w:rsidRPr="008505AA" w:rsidRDefault="005C242B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Situação coerente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relativamente à problemática</w:t>
            </w:r>
          </w:p>
        </w:tc>
      </w:tr>
      <w:tr w:rsidR="00653924" w:rsidRPr="00593B9E" w:rsidTr="0065392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24" w:rsidRPr="007143D2" w:rsidRDefault="00653924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</w:rPr>
              <w:t>ELABORAÇÃO DO PROGRAMA DE SIMULAÇÃO </w:t>
            </w:r>
          </w:p>
          <w:p w:rsidR="00653924" w:rsidRPr="007143D2" w:rsidRDefault="00653924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24" w:rsidRPr="007143D2" w:rsidRDefault="00653924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Identificação clara do tema e do objetivo do programa de simulação</w:t>
            </w:r>
          </w:p>
          <w:p w:rsidR="00653924" w:rsidRPr="007143D2" w:rsidRDefault="00653924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7" w:rsidRPr="008505AA" w:rsidRDefault="00653924" w:rsidP="00653924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Objetivos gerais</w:t>
            </w:r>
            <w:r w:rsidRPr="008505AA">
              <w:rPr>
                <w:rStyle w:val="Appeldenotedefin"/>
                <w:rFonts w:ascii="Myriad Pro" w:hAnsi="Myriad Pro"/>
                <w:sz w:val="20"/>
                <w:szCs w:val="20"/>
              </w:rPr>
              <w:endnoteReference w:id="1"/>
            </w:r>
          </w:p>
          <w:p w:rsidR="00B207C7" w:rsidRPr="008505AA" w:rsidRDefault="00653924" w:rsidP="00653924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Temas abordados</w:t>
            </w:r>
          </w:p>
          <w:p w:rsidR="00653924" w:rsidRPr="008505AA" w:rsidRDefault="00653924" w:rsidP="00653924">
            <w:pPr>
              <w:contextualSpacing/>
              <w:rPr>
                <w:rFonts w:ascii="Myriad Pro" w:hAnsi="Myriad Pro"/>
                <w:sz w:val="20"/>
                <w:szCs w:val="20"/>
                <w:highlight w:val="yellow"/>
              </w:rPr>
            </w:pPr>
            <w:r>
              <w:rPr>
                <w:rFonts w:ascii="Myriad Pro" w:hAnsi="Myriad Pro"/>
                <w:sz w:val="20"/>
                <w:szCs w:val="20"/>
              </w:rPr>
              <w:t>- Objetivos específicos</w:t>
            </w:r>
          </w:p>
        </w:tc>
      </w:tr>
      <w:tr w:rsidR="00DF7F2C" w:rsidRPr="00593B9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2C" w:rsidRPr="007143D2" w:rsidRDefault="00DF7F2C" w:rsidP="00C65BA6">
            <w:pPr>
              <w:spacing w:after="160" w:line="259" w:lineRule="auto"/>
              <w:rPr>
                <w:rFonts w:ascii="Myriad Pro" w:eastAsiaTheme="minorHAnsi" w:hAnsi="Myriad Pro" w:cstheme="minorBidi"/>
                <w:color w:val="008582"/>
                <w:sz w:val="22"/>
                <w:szCs w:val="22"/>
              </w:rPr>
            </w:pPr>
            <w:r>
              <w:rPr>
                <w:rFonts w:ascii="Myriad Pro" w:hAnsi="Myriad Pro"/>
                <w:color w:val="008582"/>
                <w:sz w:val="22"/>
                <w:szCs w:val="22"/>
              </w:rPr>
              <w:t>OBJETIVOS PEDAGÓGICOS </w:t>
            </w:r>
          </w:p>
          <w:p w:rsidR="00DF7F2C" w:rsidRDefault="0043486A" w:rsidP="00C65BA6">
            <w:pPr>
              <w:rPr>
                <w:rFonts w:ascii="Myriad Pro" w:eastAsiaTheme="minorHAnsi" w:hAnsi="Myriad Pro" w:cstheme="minorBidi"/>
                <w:color w:val="008582"/>
                <w:sz w:val="22"/>
                <w:szCs w:val="22"/>
              </w:rPr>
            </w:pPr>
            <w:r>
              <w:rPr>
                <w:rFonts w:ascii="Myriad Pro" w:hAnsi="Myriad Pro"/>
                <w:color w:val="008582"/>
                <w:sz w:val="22"/>
                <w:szCs w:val="22"/>
              </w:rPr>
              <w:t>do cenário</w:t>
            </w:r>
          </w:p>
          <w:p w:rsidR="00981A53" w:rsidRPr="007143D2" w:rsidRDefault="00981A53" w:rsidP="00C65BA6">
            <w:pPr>
              <w:rPr>
                <w:rFonts w:ascii="Myriad Pro" w:eastAsiaTheme="minorHAnsi" w:hAnsi="Myriad Pro" w:cstheme="minorBidi"/>
                <w:color w:val="008582"/>
                <w:sz w:val="22"/>
                <w:szCs w:val="22"/>
                <w:lang w:eastAsia="en-US"/>
              </w:rPr>
            </w:pPr>
          </w:p>
          <w:p w:rsidR="00DF7F2C" w:rsidRPr="007143D2" w:rsidRDefault="00DF7F2C" w:rsidP="00C65BA6">
            <w:pPr>
              <w:rPr>
                <w:rFonts w:ascii="Myriad Pro" w:eastAsiaTheme="minorHAnsi" w:hAnsi="Myriad Pro" w:cstheme="minorBidi"/>
                <w:color w:val="008582"/>
                <w:sz w:val="22"/>
                <w:szCs w:val="22"/>
                <w:lang w:eastAsia="en-US"/>
              </w:rPr>
            </w:pPr>
          </w:p>
          <w:p w:rsidR="00DF7F2C" w:rsidRPr="007143D2" w:rsidRDefault="00DF7F2C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C" w:rsidRPr="007143D2" w:rsidRDefault="00DF7F2C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Validade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2C" w:rsidRPr="008505AA" w:rsidRDefault="00DF7F2C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Número ideal: 1 a 4 objetivos</w:t>
            </w:r>
          </w:p>
          <w:p w:rsidR="00DF7F2C" w:rsidRPr="008505AA" w:rsidRDefault="00DF7F2C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Definição dos objetivos gerais</w:t>
            </w:r>
          </w:p>
          <w:p w:rsidR="00DF7F2C" w:rsidRPr="008505AA" w:rsidRDefault="00FD5AF6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Definição dos objetivos específicos </w:t>
            </w:r>
          </w:p>
          <w:p w:rsidR="00DF7F2C" w:rsidRPr="008505AA" w:rsidRDefault="00DF7F2C" w:rsidP="00C65BA6">
            <w:pPr>
              <w:rPr>
                <w:rFonts w:ascii="Myriad Pro" w:hAnsi="Myriad Pro"/>
                <w:sz w:val="20"/>
                <w:szCs w:val="20"/>
              </w:rPr>
            </w:pPr>
          </w:p>
          <w:p w:rsidR="008505AA" w:rsidRDefault="00FD5AF6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De acordo com o catálogo de competências </w:t>
            </w:r>
          </w:p>
          <w:p w:rsidR="00DF7F2C" w:rsidRPr="008505AA" w:rsidRDefault="008505AA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das escolas ou instituições hospitalares</w:t>
            </w:r>
          </w:p>
          <w:p w:rsidR="00DF7F2C" w:rsidRPr="008505AA" w:rsidRDefault="00DF7F2C" w:rsidP="00C65BA6">
            <w:pPr>
              <w:ind w:left="360"/>
              <w:rPr>
                <w:rFonts w:ascii="Myriad Pro" w:hAnsi="Myriad Pro"/>
                <w:sz w:val="20"/>
                <w:szCs w:val="20"/>
                <w:highlight w:val="yellow"/>
              </w:rPr>
            </w:pPr>
          </w:p>
        </w:tc>
      </w:tr>
      <w:tr w:rsidR="00366207" w:rsidRPr="00593B9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07" w:rsidRPr="007A731A" w:rsidRDefault="00EE3E83" w:rsidP="00C65BA6">
            <w:pPr>
              <w:rPr>
                <w:rFonts w:ascii="Myriad Pro" w:hAnsi="Myriad Pro"/>
                <w:color w:val="008582"/>
                <w:sz w:val="22"/>
              </w:rPr>
            </w:pPr>
            <w:r>
              <w:rPr>
                <w:rFonts w:ascii="Myriad Pro" w:hAnsi="Myriad Pro"/>
                <w:color w:val="008582"/>
                <w:sz w:val="22"/>
              </w:rPr>
              <w:t>METODOLOGIA DE PESQUISA DOCUMENTAL</w:t>
            </w:r>
            <w:r w:rsidR="00366207" w:rsidRPr="007A731A">
              <w:rPr>
                <w:rStyle w:val="Appelnotedebasdep"/>
                <w:rFonts w:ascii="Myriad Pro" w:hAnsi="Myriad Pro"/>
                <w:color w:val="008582"/>
                <w:sz w:val="22"/>
              </w:rPr>
              <w:footnoteReference w:id="3"/>
            </w:r>
          </w:p>
          <w:p w:rsidR="00366207" w:rsidRPr="007143D2" w:rsidRDefault="00366207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07" w:rsidRPr="007143D2" w:rsidRDefault="00B207C7" w:rsidP="00C65BA6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  <w:r>
              <w:rPr>
                <w:rFonts w:ascii="Myriad Pro" w:hAnsi="Myriad Pro"/>
                <w:sz w:val="22"/>
                <w:szCs w:val="22"/>
              </w:rPr>
              <w:t>Validade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7" w:rsidRDefault="0036620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A pesquisa deve ser realizada a nível </w:t>
            </w:r>
          </w:p>
          <w:p w:rsidR="00DF7F2C" w:rsidRPr="008505AA" w:rsidRDefault="008924E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internacional</w:t>
            </w:r>
          </w:p>
          <w:p w:rsidR="00366207" w:rsidRPr="008505AA" w:rsidRDefault="0036620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As fontes devem ser citadas</w:t>
            </w:r>
            <w:r w:rsidRPr="008505AA">
              <w:rPr>
                <w:rStyle w:val="Appelnotedebasdep"/>
                <w:rFonts w:ascii="Myriad Pro" w:hAnsi="Myriad Pro"/>
                <w:sz w:val="20"/>
                <w:szCs w:val="20"/>
              </w:rPr>
              <w:footnoteReference w:id="4"/>
            </w:r>
            <w:r>
              <w:rPr>
                <w:rFonts w:ascii="Myriad Pro" w:hAnsi="Myriad Pro"/>
                <w:sz w:val="20"/>
                <w:szCs w:val="20"/>
              </w:rPr>
              <w:t xml:space="preserve">    </w:t>
            </w:r>
          </w:p>
          <w:p w:rsidR="00366207" w:rsidRPr="008505AA" w:rsidRDefault="00FD5AF6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Referências bibliográficas segundo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a norma ISO 690: 2010</w:t>
            </w:r>
          </w:p>
          <w:p w:rsidR="00366207" w:rsidRPr="008505AA" w:rsidRDefault="00366207" w:rsidP="00C65BA6">
            <w:pPr>
              <w:contextualSpacing/>
              <w:rPr>
                <w:rFonts w:ascii="Myriad Pro" w:hAnsi="Myriad Pro"/>
                <w:sz w:val="20"/>
                <w:szCs w:val="20"/>
                <w:highlight w:val="yellow"/>
              </w:rPr>
            </w:pPr>
            <w:r>
              <w:rPr>
                <w:rFonts w:ascii="Myriad Pro" w:hAnsi="Myriad Pro"/>
                <w:sz w:val="20"/>
                <w:szCs w:val="20"/>
              </w:rPr>
              <w:t>- Abordagem EBE ou MBE detalhada (fiabilidade)</w:t>
            </w:r>
          </w:p>
          <w:p w:rsidR="00366207" w:rsidRPr="008505AA" w:rsidRDefault="00366207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0A1B3A" w:rsidRDefault="000A1B3A">
      <w:r>
        <w:br w:type="page"/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EE5BB3" w:rsidRPr="00593B9E" w:rsidTr="00C65BA6">
        <w:trPr>
          <w:trHeight w:val="84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BB3" w:rsidRPr="007143D2" w:rsidRDefault="00EE5BB3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</w:rPr>
              <w:lastRenderedPageBreak/>
              <w:t>POPULAÇÃO-ALVO DE ALUNOS</w:t>
            </w:r>
            <w:r w:rsidR="00593B9E" w:rsidRPr="007143D2">
              <w:rPr>
                <w:rStyle w:val="Appelnotedebasdep"/>
                <w:rFonts w:ascii="Myriad Pro" w:hAnsi="Myriad Pro"/>
                <w:color w:val="008582"/>
              </w:rPr>
              <w:footnoteReference w:id="5"/>
            </w:r>
          </w:p>
          <w:p w:rsidR="00EE5BB3" w:rsidRPr="007143D2" w:rsidRDefault="00EE5BB3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7143D2" w:rsidRDefault="00EE5BB3" w:rsidP="00C65BA6">
            <w:pPr>
              <w:rPr>
                <w:rFonts w:ascii="Myriad Pro" w:hAnsi="Myriad Pro"/>
                <w:sz w:val="22"/>
                <w:szCs w:val="22"/>
                <w:highlight w:val="lightGray"/>
              </w:rPr>
            </w:pPr>
            <w:r>
              <w:rPr>
                <w:rFonts w:ascii="Myriad Pro" w:hAnsi="Myriad Pro"/>
                <w:sz w:val="22"/>
                <w:szCs w:val="22"/>
              </w:rPr>
              <w:t>Disponibilidade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8505AA" w:rsidRDefault="00AD625E" w:rsidP="00FD5AF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Certificar-se do tempo de que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os participantes poderão dispensar</w:t>
            </w:r>
          </w:p>
          <w:p w:rsidR="00AD625E" w:rsidRPr="008505AA" w:rsidRDefault="00AD625E" w:rsidP="00FD5AF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Convenções entre escolas e hospitais</w:t>
            </w:r>
          </w:p>
          <w:p w:rsidR="00AD625E" w:rsidRPr="008505AA" w:rsidRDefault="00AD625E" w:rsidP="00FD5AF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Adaptada às necessidades</w:t>
            </w:r>
          </w:p>
          <w:p w:rsidR="00AD625E" w:rsidRPr="008505AA" w:rsidRDefault="00AD625E" w:rsidP="00C65BA6">
            <w:pPr>
              <w:ind w:left="36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E5BB3" w:rsidRPr="00593B9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BB3" w:rsidRPr="007143D2" w:rsidRDefault="00EE5BB3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7143D2" w:rsidRDefault="00EE5BB3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Funções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8505AA" w:rsidRDefault="00EE5BB3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Cargo do participante associado às necessidades</w:t>
            </w:r>
          </w:p>
          <w:p w:rsidR="00EE5BB3" w:rsidRPr="008505AA" w:rsidRDefault="00EE5BB3" w:rsidP="00C65BA6">
            <w:pPr>
              <w:ind w:left="360"/>
              <w:contextualSpacing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06F49" w:rsidRPr="00593B9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49" w:rsidRPr="007143D2" w:rsidRDefault="00A06F49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F49" w:rsidRPr="007143D2" w:rsidRDefault="00A06F49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Competências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7" w:rsidRDefault="00A06F49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Confirmar se o cenário corresponde ao nível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de competência e experiência do aluno.   </w:t>
            </w:r>
          </w:p>
          <w:p w:rsidR="008924E7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A resolução do cenário encontra-se</w:t>
            </w:r>
          </w:p>
          <w:p w:rsidR="008924E7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numa zona aproximada do desenvolvimento </w:t>
            </w:r>
          </w:p>
          <w:p w:rsidR="00A06F49" w:rsidRPr="008505AA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do aluno</w:t>
            </w:r>
            <w:r w:rsidR="00B56EED" w:rsidRPr="008505AA">
              <w:rPr>
                <w:rStyle w:val="Appelnotedebasdep"/>
                <w:rFonts w:ascii="Myriad Pro" w:hAnsi="Myriad Pro"/>
                <w:sz w:val="20"/>
                <w:szCs w:val="20"/>
              </w:rPr>
              <w:footnoteReference w:id="6"/>
            </w:r>
          </w:p>
          <w:p w:rsidR="008924E7" w:rsidRDefault="00A06F49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Definir o nível de formação dos alunos </w:t>
            </w:r>
          </w:p>
          <w:p w:rsidR="008924E7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para adaptar a resolução do cenário: </w:t>
            </w:r>
          </w:p>
          <w:p w:rsidR="008924E7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semestres escolares ou anos de experiência </w:t>
            </w:r>
          </w:p>
          <w:p w:rsidR="008924E7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no domínio do tema: </w:t>
            </w:r>
          </w:p>
          <w:p w:rsidR="00A06F49" w:rsidRPr="008505AA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básico/intermediário/avançado</w:t>
            </w:r>
          </w:p>
          <w:p w:rsidR="008924E7" w:rsidRDefault="00F65D4B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Para estudantes: relacionado com os semestres </w:t>
            </w:r>
          </w:p>
          <w:p w:rsidR="00A06F49" w:rsidRPr="008505AA" w:rsidRDefault="008924E7" w:rsidP="00FD5AF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escolares e os ECTS</w:t>
            </w:r>
            <w:r w:rsidR="00593B9E" w:rsidRPr="008505AA">
              <w:rPr>
                <w:rStyle w:val="Appelnotedebasdep"/>
                <w:rFonts w:ascii="Myriad Pro" w:hAnsi="Myriad Pro"/>
                <w:sz w:val="20"/>
                <w:szCs w:val="20"/>
              </w:rPr>
              <w:footnoteReference w:id="7"/>
            </w:r>
            <w:r>
              <w:rPr>
                <w:rFonts w:ascii="Myriad Pro" w:hAnsi="Myriad Pro"/>
                <w:sz w:val="20"/>
                <w:szCs w:val="20"/>
              </w:rPr>
              <w:t xml:space="preserve"> ou a unidade de ensino.</w:t>
            </w:r>
          </w:p>
        </w:tc>
      </w:tr>
      <w:tr w:rsidR="00EE5BB3" w:rsidRPr="00593B9E" w:rsidTr="00C65BA6">
        <w:trPr>
          <w:trHeight w:val="843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B3" w:rsidRPr="007143D2" w:rsidRDefault="00EE5BB3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7143D2" w:rsidRDefault="00EE5BB3" w:rsidP="00C65BA6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Formação obrigatória ou voluntariado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B3" w:rsidRPr="008505AA" w:rsidRDefault="00961038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Consentimento de participação</w:t>
            </w:r>
          </w:p>
          <w:p w:rsidR="00961038" w:rsidRPr="008505AA" w:rsidRDefault="00961038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Individual/Grupo/Equipa</w:t>
            </w:r>
          </w:p>
        </w:tc>
      </w:tr>
      <w:tr w:rsidR="00961038" w:rsidRPr="00593B9E" w:rsidTr="00C65BA6">
        <w:trPr>
          <w:trHeight w:val="987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7143D2" w:rsidRDefault="00EE3E83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</w:rPr>
              <w:t>MODALIDADES, ABORDAGEM, FERRAMENTAS</w:t>
            </w:r>
          </w:p>
          <w:p w:rsidR="00961038" w:rsidRPr="007143D2" w:rsidRDefault="00961038" w:rsidP="00C65BA6">
            <w:pPr>
              <w:rPr>
                <w:rFonts w:ascii="Myriad Pro" w:hAnsi="Myriad Pro"/>
                <w:color w:val="008582"/>
              </w:rPr>
            </w:pPr>
          </w:p>
          <w:p w:rsidR="00961038" w:rsidRPr="007143D2" w:rsidRDefault="00961038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7143D2" w:rsidRDefault="00D67236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Tipo de simulação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6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Doente-padrão</w:t>
            </w:r>
          </w:p>
          <w:p w:rsidR="00D67236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Simulação de papéis</w:t>
            </w:r>
          </w:p>
          <w:p w:rsidR="00D67236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Simuladores de doentes (alta ou baixa fidelidade)</w:t>
            </w:r>
          </w:p>
          <w:p w:rsidR="00D67236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Simuladores de procedimentos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(alta ou baixa fidelidade)</w:t>
            </w:r>
          </w:p>
          <w:p w:rsidR="00961038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Simulação híbrida</w:t>
            </w:r>
          </w:p>
          <w:p w:rsidR="00961038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Realidade virtual</w:t>
            </w:r>
          </w:p>
          <w:p w:rsidR="00961038" w:rsidRPr="008505AA" w:rsidRDefault="00B56EED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Exercícios sérios</w:t>
            </w:r>
          </w:p>
          <w:p w:rsidR="00961038" w:rsidRPr="008505AA" w:rsidRDefault="00961038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61038" w:rsidRPr="00593B9E" w:rsidTr="00C65BA6">
        <w:trPr>
          <w:trHeight w:val="98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7143D2" w:rsidRDefault="00961038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7143D2" w:rsidRDefault="00D67236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Tipo de simulador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8505AA" w:rsidRDefault="00D67236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Confirmar se as capacidades do simulador estão de acordo com o cenário escolhido</w:t>
            </w:r>
          </w:p>
        </w:tc>
      </w:tr>
      <w:tr w:rsidR="00961038" w:rsidRPr="00593B9E" w:rsidTr="00C65BA6">
        <w:trPr>
          <w:trHeight w:val="986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038" w:rsidRPr="007143D2" w:rsidRDefault="00961038" w:rsidP="00C65BA6">
            <w:pPr>
              <w:rPr>
                <w:rFonts w:ascii="Myriad Pro" w:hAnsi="Myriad Pro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7143D2" w:rsidRDefault="00D67236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Ambiente/Materiais e equipamento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38" w:rsidRPr="008505AA" w:rsidRDefault="00D67236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Confirmar se o ambiente escolhido </w:t>
            </w:r>
            <w:r>
              <w:rPr>
                <w:rFonts w:ascii="Myriad Pro" w:hAnsi="Myriad Pro"/>
                <w:sz w:val="20"/>
                <w:szCs w:val="20"/>
              </w:rPr>
              <w:br/>
              <w:t>(sala de operações, quarto do doente ou local neutro) e o material necessário estão disponíveis no centro de simulação (ambos detalhados na fase O5)</w:t>
            </w:r>
          </w:p>
          <w:p w:rsidR="00F05DC7" w:rsidRPr="008505AA" w:rsidRDefault="00F05DC7" w:rsidP="00C65B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0A1B3A" w:rsidRDefault="000A1B3A">
      <w:r>
        <w:br w:type="page"/>
      </w:r>
    </w:p>
    <w:tbl>
      <w:tblPr>
        <w:tblStyle w:val="Grilledutablea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37"/>
        <w:gridCol w:w="2678"/>
        <w:gridCol w:w="4247"/>
      </w:tblGrid>
      <w:tr w:rsidR="00D51F0C" w:rsidRPr="00593B9E" w:rsidTr="00C65BA6">
        <w:trPr>
          <w:trHeight w:val="154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F0C" w:rsidRPr="007143D2" w:rsidRDefault="00EE3E83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</w:rPr>
              <w:lastRenderedPageBreak/>
              <w:t>ELEMENTOS DE AVALIAÇÃO</w:t>
            </w:r>
          </w:p>
          <w:p w:rsidR="00D51F0C" w:rsidRPr="007143D2" w:rsidRDefault="00D51F0C" w:rsidP="00C65BA6">
            <w:pPr>
              <w:rPr>
                <w:rFonts w:ascii="Myriad Pro" w:hAnsi="Myriad Pro"/>
                <w:color w:val="008582"/>
              </w:rPr>
            </w:pPr>
          </w:p>
          <w:p w:rsidR="00D51F0C" w:rsidRPr="007143D2" w:rsidRDefault="00D51F0C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7143D2" w:rsidRDefault="00DA67E6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Do cenário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E7" w:rsidRDefault="00B207C7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Antes do teste/cenário: testar o cenário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para garantir o bom funcionamento (progresso </w:t>
            </w:r>
          </w:p>
          <w:p w:rsidR="00DA67E6" w:rsidRPr="008505AA" w:rsidRDefault="008924E7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previsto, codificação, "check-list" de material completa)</w:t>
            </w:r>
          </w:p>
          <w:p w:rsidR="00DA67E6" w:rsidRPr="008505AA" w:rsidRDefault="00B207C7" w:rsidP="00C65BA6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Após o teste: coerência entre as competências utilizadas em relação aos objetivos previstos</w:t>
            </w:r>
          </w:p>
          <w:p w:rsidR="00B207C7" w:rsidRPr="008505AA" w:rsidRDefault="00B207C7" w:rsidP="00B207C7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Definição das áreas de melhoria</w:t>
            </w:r>
          </w:p>
          <w:p w:rsidR="008924E7" w:rsidRDefault="00B207C7" w:rsidP="00B207C7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Revisão do programa de simulação </w:t>
            </w:r>
          </w:p>
          <w:p w:rsidR="00D51F0C" w:rsidRPr="008505AA" w:rsidRDefault="008924E7" w:rsidP="00B207C7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por parte do comité pedagógico e/ou científico e/ou dos pares</w:t>
            </w:r>
          </w:p>
          <w:p w:rsidR="00D51F0C" w:rsidRPr="008505AA" w:rsidRDefault="00D51F0C" w:rsidP="00C65BA6">
            <w:pPr>
              <w:ind w:left="720"/>
              <w:contextualSpacing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51F0C" w:rsidRPr="00593B9E" w:rsidTr="00C65BA6">
        <w:trPr>
          <w:trHeight w:val="1545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7143D2" w:rsidRDefault="00D51F0C" w:rsidP="00C65BA6">
            <w:pPr>
              <w:rPr>
                <w:rFonts w:ascii="Myriad Pro" w:hAnsi="Myriad Pro"/>
                <w:color w:val="00858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7143D2" w:rsidRDefault="00E7164C" w:rsidP="00C65B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Dos alunos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6" w:rsidRPr="008505AA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Antes do teste: conhecimentos, avaliação dos pré-requisitos</w:t>
            </w:r>
          </w:p>
          <w:p w:rsidR="00DA67E6" w:rsidRPr="008505AA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- Após o teste: semelhante ao que sucede antes do teste</w:t>
            </w:r>
          </w:p>
          <w:p w:rsidR="008924E7" w:rsidRDefault="00B207C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Modalidade de avaliação dos conhecimentos teóricos 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  e práticos adquiridos: nomeadamente através da pirâmide </w:t>
            </w:r>
          </w:p>
          <w:p w:rsidR="008924E7" w:rsidRDefault="008924E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de Maslow e do modelo de Kirkpatrick, </w:t>
            </w:r>
          </w:p>
          <w:p w:rsidR="00DA67E6" w:rsidRPr="008505AA" w:rsidRDefault="008924E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que serão detalhados na fase O4</w:t>
            </w:r>
          </w:p>
          <w:p w:rsidR="008924E7" w:rsidRDefault="00DA67E6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- Acompanhamento da transferência dos conhecimentos adquiridos </w:t>
            </w:r>
          </w:p>
          <w:p w:rsidR="00DA67E6" w:rsidRPr="008505AA" w:rsidRDefault="008924E7" w:rsidP="00C65BA6">
            <w:pPr>
              <w:contextualSpacing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na simulação para a prática profissional</w:t>
            </w:r>
          </w:p>
          <w:p w:rsidR="00D51F0C" w:rsidRPr="008505AA" w:rsidRDefault="00D51F0C" w:rsidP="00C65BA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DA7E27" w:rsidRPr="00593B9E" w:rsidTr="00C65BA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27" w:rsidRPr="007143D2" w:rsidRDefault="00DA7E27" w:rsidP="00C65BA6">
            <w:pPr>
              <w:rPr>
                <w:rFonts w:ascii="Myriad Pro" w:hAnsi="Myriad Pro"/>
                <w:color w:val="008582"/>
              </w:rPr>
            </w:pPr>
            <w:r>
              <w:rPr>
                <w:rFonts w:ascii="Myriad Pro" w:hAnsi="Myriad Pro"/>
                <w:color w:val="008582"/>
              </w:rPr>
              <w:t>DOCUMENTOS DE APOIO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9" w:rsidRPr="007143D2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 Cenário já efetuado (fases O2 -05)</w:t>
            </w:r>
          </w:p>
          <w:p w:rsidR="00DA7E27" w:rsidRPr="007143D2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 Dados principais previstos para a fase de debriefing</w:t>
            </w:r>
          </w:p>
          <w:p w:rsidR="00DA7E27" w:rsidRPr="007143D2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 Resumo enviado aos alunos </w:t>
            </w:r>
            <w:r>
              <w:rPr>
                <w:rFonts w:ascii="Myriad Pro" w:hAnsi="Myriad Pro"/>
              </w:rPr>
              <w:sym w:font="Wingdings" w:char="F0E0"/>
            </w:r>
            <w:r>
              <w:rPr>
                <w:rFonts w:ascii="Myriad Pro" w:hAnsi="Myriad Pro"/>
                <w:sz w:val="22"/>
                <w:szCs w:val="22"/>
              </w:rPr>
              <w:t xml:space="preserve"> Os documentos e as respetivas provas ou referências devem ser enviados aos alunos.</w:t>
            </w:r>
          </w:p>
          <w:p w:rsidR="00D66215" w:rsidRPr="007143D2" w:rsidRDefault="00B42962" w:rsidP="00B42962">
            <w:pPr>
              <w:contextualSpacing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 Relatório personalizado: fase O6</w:t>
            </w:r>
          </w:p>
          <w:p w:rsidR="00DA7E27" w:rsidRPr="007143D2" w:rsidRDefault="00DA7E27" w:rsidP="00C65BA6">
            <w:pPr>
              <w:ind w:left="720"/>
              <w:contextualSpacing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5E489C" w:rsidRPr="00593B9E" w:rsidRDefault="00593B9E" w:rsidP="00C65BA6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</w:p>
    <w:p w:rsidR="006C0668" w:rsidRPr="00593B9E" w:rsidRDefault="006C0668" w:rsidP="00C65BA6">
      <w:pPr>
        <w:rPr>
          <w:rFonts w:ascii="Cambria" w:hAnsi="Cambria"/>
        </w:rPr>
      </w:pPr>
    </w:p>
    <w:sectPr w:rsidR="006C0668" w:rsidRPr="00593B9E" w:rsidSect="000A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86" w:rsidRDefault="009C5386" w:rsidP="002C02CD">
      <w:pPr>
        <w:spacing w:after="0" w:line="240" w:lineRule="auto"/>
      </w:pPr>
      <w:r>
        <w:separator/>
      </w:r>
    </w:p>
  </w:endnote>
  <w:endnote w:type="continuationSeparator" w:id="0">
    <w:p w:rsidR="009C5386" w:rsidRDefault="009C5386" w:rsidP="002C02CD">
      <w:pPr>
        <w:spacing w:after="0" w:line="240" w:lineRule="auto"/>
      </w:pPr>
      <w:r>
        <w:continuationSeparator/>
      </w:r>
    </w:p>
  </w:endnote>
  <w:endnote w:id="1">
    <w:p w:rsidR="00653924" w:rsidRPr="007143D2" w:rsidRDefault="00653924" w:rsidP="00653924">
      <w:pPr>
        <w:pStyle w:val="Notedebasdepage"/>
        <w:jc w:val="both"/>
        <w:rPr>
          <w:rFonts w:ascii="Myriad Pro" w:hAnsi="Myriad Pro"/>
          <w:sz w:val="16"/>
          <w:szCs w:val="16"/>
        </w:rPr>
      </w:pPr>
      <w:r>
        <w:rPr>
          <w:rStyle w:val="Appeldenotedefin"/>
          <w:rFonts w:ascii="Myriad Pro" w:hAnsi="Myriad Pro"/>
          <w:sz w:val="16"/>
          <w:szCs w:val="16"/>
        </w:rPr>
        <w:endnoteRef/>
      </w:r>
      <w:r>
        <w:rPr>
          <w:rFonts w:ascii="Myriad Pro" w:hAnsi="Myriad Pro"/>
          <w:sz w:val="16"/>
          <w:szCs w:val="16"/>
        </w:rPr>
        <w:t xml:space="preserve"> Os objetivos gerais "expressam, de uma forma geral, a finalidade do programa de simulação e servem para formular os objetivos pedagógicos." Guia HAS de boas práticas em matéria de simulação em Saúde</w:t>
      </w:r>
    </w:p>
    <w:p w:rsidR="00653924" w:rsidRPr="00D132B6" w:rsidRDefault="00653924" w:rsidP="00653924">
      <w:pPr>
        <w:pStyle w:val="Notedefin"/>
        <w:jc w:val="both"/>
        <w:rPr>
          <w:sz w:val="16"/>
          <w:szCs w:val="16"/>
        </w:rPr>
      </w:pPr>
      <w:r>
        <w:rPr>
          <w:rFonts w:ascii="Myriad Pro" w:hAnsi="Myriad Pro"/>
          <w:sz w:val="16"/>
          <w:szCs w:val="16"/>
        </w:rPr>
        <w:t>Os objetivos consideram a melhoria da qualidade dos cuidados e o reforço da segurança em matéria de tratamento, os objetivos da disciplina e as metas profissionais afetas.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3A" w:rsidRPr="00276181" w:rsidRDefault="004B0F05" w:rsidP="004B0F05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8"/>
        <w:szCs w:val="24"/>
      </w:rPr>
    </w:pPr>
    <w:r>
      <w:rPr>
        <w:noProof/>
        <w:lang w:val="fr-BE" w:eastAsia="fr-BE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3649980</wp:posOffset>
          </wp:positionH>
          <wp:positionV relativeFrom="paragraph">
            <wp:posOffset>-281940</wp:posOffset>
          </wp:positionV>
          <wp:extent cx="1818640" cy="495300"/>
          <wp:effectExtent l="0" t="0" r="0" b="0"/>
          <wp:wrapTight wrapText="bothSides">
            <wp:wrapPolygon edited="0">
              <wp:start x="0" y="0"/>
              <wp:lineTo x="0" y="20769"/>
              <wp:lineTo x="21268" y="20769"/>
              <wp:lineTo x="212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BC3C18C" wp14:editId="0FE4E3D7">
          <wp:simplePos x="0" y="0"/>
          <wp:positionH relativeFrom="column">
            <wp:posOffset>-80645</wp:posOffset>
          </wp:positionH>
          <wp:positionV relativeFrom="paragraph">
            <wp:posOffset>-162434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10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B3A" w:rsidRPr="000A1B3A" w:rsidRDefault="000A1B3A" w:rsidP="004B0F05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Times New Roman" w:hAnsi="Arial" w:cs="Times New Roman"/>
        <w:b/>
        <w:bCs/>
        <w:sz w:val="18"/>
        <w:szCs w:val="18"/>
      </w:rPr>
    </w:pPr>
    <w:r>
      <w:rPr>
        <w:rFonts w:ascii="Arial" w:hAnsi="Arial"/>
        <w:bCs/>
        <w:color w:val="2F5496"/>
        <w:sz w:val="18"/>
        <w:szCs w:val="18"/>
      </w:rPr>
      <w:t>15PS0009 (2015-1-BE01-KA203-013218)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86" w:rsidRDefault="009C5386" w:rsidP="002C02CD">
      <w:pPr>
        <w:spacing w:after="0" w:line="240" w:lineRule="auto"/>
      </w:pPr>
      <w:r>
        <w:separator/>
      </w:r>
    </w:p>
  </w:footnote>
  <w:footnote w:type="continuationSeparator" w:id="0">
    <w:p w:rsidR="009C5386" w:rsidRDefault="009C5386" w:rsidP="002C02CD">
      <w:pPr>
        <w:spacing w:after="0" w:line="240" w:lineRule="auto"/>
      </w:pPr>
      <w:r>
        <w:continuationSeparator/>
      </w:r>
    </w:p>
  </w:footnote>
  <w:footnote w:id="1">
    <w:p w:rsidR="005C242B" w:rsidRPr="007143D2" w:rsidRDefault="005C242B">
      <w:pPr>
        <w:pStyle w:val="Notedebasdepage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Todos os critérios devem ser respeitados</w:t>
      </w:r>
    </w:p>
  </w:footnote>
  <w:footnote w:id="2">
    <w:p w:rsidR="002C02CD" w:rsidRDefault="002C02CD">
      <w:pPr>
        <w:pStyle w:val="Notedebasdepage"/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http://www.has-sante.fr/portail/jcms/c_434817/fr/revue-de-mortalite-et-de-morbidite-rmm: "A </w:t>
      </w:r>
      <w:r>
        <w:rPr>
          <w:rFonts w:ascii="Myriad Pro" w:hAnsi="Myriad Pro"/>
          <w:sz w:val="16"/>
          <w:szCs w:val="16"/>
        </w:rPr>
        <w:t>revisão de mortalidade e morbidade (RMM) é uma análise coletiva, retrospetiva e sistemática de casos marcados pela ocorrência de morte, complicações ou eventos que poderiam prejudicar o doente. Tem o objetivo de implementar e seguir ações que visem melhorar o tratamento dos doentes e a segurança dos cuidados. "</w:t>
      </w:r>
      <w:r>
        <w:t xml:space="preserve"> </w:t>
      </w:r>
    </w:p>
  </w:footnote>
  <w:footnote w:id="3">
    <w:p w:rsidR="00366207" w:rsidRPr="007143D2" w:rsidRDefault="00366207" w:rsidP="00F05DC7">
      <w:pPr>
        <w:pStyle w:val="Notedebasdepage"/>
        <w:jc w:val="both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As </w:t>
      </w:r>
      <w:r>
        <w:rPr>
          <w:rFonts w:ascii="Myriad Pro" w:hAnsi="Myriad Pro"/>
          <w:sz w:val="16"/>
          <w:szCs w:val="16"/>
        </w:rPr>
        <w:t>provas orientam a prática. O cenário deve identificar as referências que servem de fundamento teórico para os objetivos de aprendizagem.</w:t>
      </w:r>
    </w:p>
  </w:footnote>
  <w:footnote w:id="4">
    <w:p w:rsidR="00366207" w:rsidRPr="007143D2" w:rsidRDefault="00366207" w:rsidP="00366207">
      <w:pPr>
        <w:pStyle w:val="Notedebasdepage"/>
        <w:jc w:val="both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Basta </w:t>
      </w:r>
      <w:r>
        <w:rPr>
          <w:rFonts w:ascii="Myriad Pro" w:hAnsi="Myriad Pro"/>
          <w:sz w:val="16"/>
          <w:szCs w:val="16"/>
        </w:rPr>
        <w:t>uma fonte no caso de ser de uma instituição da especialidade ou governamental.</w:t>
      </w:r>
    </w:p>
  </w:footnote>
  <w:footnote w:id="5">
    <w:p w:rsidR="00593B9E" w:rsidRPr="007143D2" w:rsidRDefault="00593B9E" w:rsidP="00ED1795">
      <w:pPr>
        <w:pStyle w:val="Notedebasdepage"/>
        <w:jc w:val="both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O </w:t>
      </w:r>
      <w:r>
        <w:rPr>
          <w:rFonts w:ascii="Myriad Pro" w:hAnsi="Myriad Pro"/>
          <w:sz w:val="16"/>
          <w:szCs w:val="16"/>
        </w:rPr>
        <w:t>termo "aluno" será utilizado de forma indiferenciada para se referir a "aluno" e "estudante". Note que o termo "estudante" implica especificamente um programa académico.</w:t>
      </w:r>
    </w:p>
  </w:footnote>
  <w:footnote w:id="6">
    <w:p w:rsidR="00B56EED" w:rsidRPr="007143D2" w:rsidRDefault="00B56EED" w:rsidP="00ED1795">
      <w:pPr>
        <w:pStyle w:val="Notedebasdepage"/>
        <w:jc w:val="both"/>
        <w:rPr>
          <w:rFonts w:ascii="Myriad Pro" w:hAnsi="Myriad Pro"/>
          <w:sz w:val="16"/>
          <w:szCs w:val="16"/>
        </w:rPr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 w:rsidRPr="00AC3D57">
        <w:rPr>
          <w:rFonts w:ascii="Myriad Pro" w:hAnsi="Myriad Pro"/>
          <w:sz w:val="16"/>
          <w:szCs w:val="16"/>
          <w:lang w:val="en-US"/>
        </w:rPr>
        <w:t xml:space="preserve">Waxman, K (2010). The </w:t>
      </w:r>
      <w:proofErr w:type="spellStart"/>
      <w:r w:rsidRPr="00AC3D57">
        <w:rPr>
          <w:rFonts w:ascii="Myriad Pro" w:hAnsi="Myriad Pro"/>
          <w:sz w:val="16"/>
          <w:szCs w:val="16"/>
          <w:lang w:val="en-US"/>
        </w:rPr>
        <w:t>developement</w:t>
      </w:r>
      <w:proofErr w:type="spellEnd"/>
      <w:r w:rsidRPr="00AC3D57">
        <w:rPr>
          <w:rFonts w:ascii="Myriad Pro" w:hAnsi="Myriad Pro"/>
          <w:sz w:val="16"/>
          <w:szCs w:val="16"/>
          <w:lang w:val="en-US"/>
        </w:rPr>
        <w:t xml:space="preserve"> of evidence-based clinical simulation </w:t>
      </w:r>
      <w:proofErr w:type="spellStart"/>
      <w:r w:rsidRPr="00AC3D57">
        <w:rPr>
          <w:rFonts w:ascii="Myriad Pro" w:hAnsi="Myriad Pro"/>
          <w:sz w:val="16"/>
          <w:szCs w:val="16"/>
          <w:lang w:val="en-US"/>
        </w:rPr>
        <w:t>scénarios</w:t>
      </w:r>
      <w:proofErr w:type="spellEnd"/>
      <w:r w:rsidRPr="00AC3D57">
        <w:rPr>
          <w:rFonts w:ascii="Myriad Pro" w:hAnsi="Myriad Pro"/>
          <w:sz w:val="16"/>
          <w:szCs w:val="16"/>
          <w:lang w:val="en-US"/>
        </w:rPr>
        <w:t xml:space="preserve">: guidelines for nurse educators. </w:t>
      </w:r>
      <w:r>
        <w:rPr>
          <w:rFonts w:ascii="Myriad Pro" w:hAnsi="Myriad Pro"/>
          <w:sz w:val="16"/>
          <w:szCs w:val="16"/>
        </w:rPr>
        <w:t>Journal Of Nursing Education, 49(1), 29-35 7p. doi: 10.3928/01484834-20090916-07</w:t>
      </w:r>
    </w:p>
  </w:footnote>
  <w:footnote w:id="7">
    <w:p w:rsidR="00593B9E" w:rsidRDefault="00593B9E" w:rsidP="00F05DC7">
      <w:pPr>
        <w:pStyle w:val="Notedebasdepage"/>
        <w:jc w:val="both"/>
      </w:pPr>
      <w:r>
        <w:rPr>
          <w:rStyle w:val="Appelnotedebasdep"/>
          <w:rFonts w:ascii="Myriad Pro" w:hAnsi="Myriad Pro"/>
          <w:sz w:val="16"/>
          <w:szCs w:val="16"/>
        </w:rPr>
        <w:footnoteRef/>
      </w:r>
      <w:r>
        <w:rPr>
          <w:rFonts w:ascii="Myriad Pro" w:hAnsi="Myriad Pro"/>
          <w:sz w:val="16"/>
          <w:szCs w:val="16"/>
        </w:rPr>
        <w:t xml:space="preserve"> </w:t>
      </w:r>
      <w:r>
        <w:rPr>
          <w:rStyle w:val="lev"/>
          <w:rFonts w:ascii="Myriad Pro" w:hAnsi="Myriad Pro"/>
          <w:b w:val="0"/>
          <w:sz w:val="16"/>
          <w:szCs w:val="16"/>
        </w:rPr>
        <w:t xml:space="preserve">Doravante, </w:t>
      </w:r>
      <w:r>
        <w:rPr>
          <w:rStyle w:val="lev"/>
          <w:rFonts w:ascii="Myriad Pro" w:hAnsi="Myriad Pro"/>
          <w:b w:val="0"/>
          <w:sz w:val="16"/>
          <w:szCs w:val="16"/>
        </w:rPr>
        <w:t>o currículo de formação dos IDE franceses encontra-se inserido no sistema universitário europeu baseado na aquisição anual de um determinado número de unidades de ensino (UE).</w:t>
      </w:r>
      <w:r>
        <w:rPr>
          <w:rFonts w:ascii="Myriad Pro" w:hAnsi="Myriad Pro"/>
          <w:sz w:val="16"/>
          <w:szCs w:val="16"/>
        </w:rPr>
        <w:t xml:space="preserve"> O sistema de avaliação dos estudantes é baseado na atribuição de créditos ECTS (Sistema europeu de transferência de créditos, do inglês European credit transfer system). Este sistema permite o reconhecimento dos estudos num país membro da Comunidade Europeia e facilita a mobilidade dos estudantes na Europa. O curso de enfermagem do ensino público é consagrado após a obtenção de 180 créditos (ECTS) (30 créditos por cada semestre válido), o que corresponde à aquisição de 10 competências exigidas para o exercício das diferentes atividades da profissão de enfermeiro.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5" w:rsidRDefault="004B0F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84CE8"/>
    <w:multiLevelType w:val="hybridMultilevel"/>
    <w:tmpl w:val="45B0F77E"/>
    <w:lvl w:ilvl="0" w:tplc="8D78BE8A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7"/>
    <w:rsid w:val="00057CD9"/>
    <w:rsid w:val="00062BB2"/>
    <w:rsid w:val="000A1B3A"/>
    <w:rsid w:val="00123B0B"/>
    <w:rsid w:val="00125045"/>
    <w:rsid w:val="0012630E"/>
    <w:rsid w:val="001802C6"/>
    <w:rsid w:val="001A7AC3"/>
    <w:rsid w:val="001E6B14"/>
    <w:rsid w:val="0025087C"/>
    <w:rsid w:val="00276181"/>
    <w:rsid w:val="002C02CD"/>
    <w:rsid w:val="002E1E35"/>
    <w:rsid w:val="003477CF"/>
    <w:rsid w:val="00355464"/>
    <w:rsid w:val="00366207"/>
    <w:rsid w:val="003A77E9"/>
    <w:rsid w:val="003D06C4"/>
    <w:rsid w:val="00400355"/>
    <w:rsid w:val="0043486A"/>
    <w:rsid w:val="00436580"/>
    <w:rsid w:val="004B0F05"/>
    <w:rsid w:val="00593B9E"/>
    <w:rsid w:val="005C242B"/>
    <w:rsid w:val="005E489C"/>
    <w:rsid w:val="005E6B68"/>
    <w:rsid w:val="00653924"/>
    <w:rsid w:val="0069473A"/>
    <w:rsid w:val="006A08ED"/>
    <w:rsid w:val="006A405E"/>
    <w:rsid w:val="006C0668"/>
    <w:rsid w:val="006E1A01"/>
    <w:rsid w:val="007143D2"/>
    <w:rsid w:val="007703BE"/>
    <w:rsid w:val="00794A46"/>
    <w:rsid w:val="007A731A"/>
    <w:rsid w:val="007D14CF"/>
    <w:rsid w:val="00832EF6"/>
    <w:rsid w:val="008505AA"/>
    <w:rsid w:val="008924E7"/>
    <w:rsid w:val="008C6DDA"/>
    <w:rsid w:val="008D4F17"/>
    <w:rsid w:val="009117C7"/>
    <w:rsid w:val="00961038"/>
    <w:rsid w:val="0096337E"/>
    <w:rsid w:val="00981A53"/>
    <w:rsid w:val="00996518"/>
    <w:rsid w:val="009C5386"/>
    <w:rsid w:val="00A068D6"/>
    <w:rsid w:val="00A06F49"/>
    <w:rsid w:val="00AC3D57"/>
    <w:rsid w:val="00AD625E"/>
    <w:rsid w:val="00AD6290"/>
    <w:rsid w:val="00B004AA"/>
    <w:rsid w:val="00B207C7"/>
    <w:rsid w:val="00B42962"/>
    <w:rsid w:val="00B56EED"/>
    <w:rsid w:val="00BB789E"/>
    <w:rsid w:val="00BE695D"/>
    <w:rsid w:val="00C12010"/>
    <w:rsid w:val="00C65BA6"/>
    <w:rsid w:val="00C826FD"/>
    <w:rsid w:val="00CA1474"/>
    <w:rsid w:val="00CC1F61"/>
    <w:rsid w:val="00D132B6"/>
    <w:rsid w:val="00D51F0C"/>
    <w:rsid w:val="00D66215"/>
    <w:rsid w:val="00D66223"/>
    <w:rsid w:val="00D67236"/>
    <w:rsid w:val="00D94CB7"/>
    <w:rsid w:val="00DA67E6"/>
    <w:rsid w:val="00DA7E27"/>
    <w:rsid w:val="00DF7F2C"/>
    <w:rsid w:val="00E2149A"/>
    <w:rsid w:val="00E52692"/>
    <w:rsid w:val="00E7164C"/>
    <w:rsid w:val="00ED1795"/>
    <w:rsid w:val="00ED54CB"/>
    <w:rsid w:val="00EE3E83"/>
    <w:rsid w:val="00EE5BB3"/>
    <w:rsid w:val="00F05DC7"/>
    <w:rsid w:val="00F11FF3"/>
    <w:rsid w:val="00F34181"/>
    <w:rsid w:val="00F65D4B"/>
    <w:rsid w:val="00F7346B"/>
    <w:rsid w:val="00F91310"/>
    <w:rsid w:val="00FA03E3"/>
    <w:rsid w:val="00FD5AF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06A3E5C-2AFF-436B-97F4-E752B3B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E2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147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2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2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02C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3658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3658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3658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14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405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181"/>
  </w:style>
  <w:style w:type="paragraph" w:styleId="Pieddepage">
    <w:name w:val="footer"/>
    <w:basedOn w:val="Normal"/>
    <w:link w:val="PieddepageCar"/>
    <w:uiPriority w:val="99"/>
    <w:unhideWhenUsed/>
    <w:rsid w:val="002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181"/>
  </w:style>
  <w:style w:type="paragraph" w:styleId="Textedebulles">
    <w:name w:val="Balloon Text"/>
    <w:basedOn w:val="Normal"/>
    <w:link w:val="TextedebullesCar"/>
    <w:uiPriority w:val="99"/>
    <w:semiHidden/>
    <w:unhideWhenUsed/>
    <w:rsid w:val="00ED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9D3F-7FB4-46CA-885C-5EC2BF0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Gauffriaud</dc:creator>
  <cp:keywords/>
  <dc:description/>
  <cp:lastModifiedBy>Utilisateur Windows</cp:lastModifiedBy>
  <cp:revision>2</cp:revision>
  <cp:lastPrinted>2018-05-14T08:06:00Z</cp:lastPrinted>
  <dcterms:created xsi:type="dcterms:W3CDTF">2018-09-24T06:25:00Z</dcterms:created>
  <dcterms:modified xsi:type="dcterms:W3CDTF">2018-09-24T06:25:00Z</dcterms:modified>
</cp:coreProperties>
</file>