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6A" w:rsidRDefault="007A0085" w:rsidP="004D7E6A">
      <w:pPr>
        <w:tabs>
          <w:tab w:val="center" w:pos="4536"/>
          <w:tab w:val="left" w:pos="6825"/>
        </w:tabs>
        <w:rPr>
          <w:sz w:val="44"/>
        </w:rPr>
      </w:pPr>
      <w:r>
        <w:rPr>
          <w:noProof/>
          <w:lang w:eastAsia="fr-BE"/>
        </w:rPr>
        <w:drawing>
          <wp:anchor distT="0" distB="0" distL="114300" distR="114300" simplePos="0" relativeHeight="251660288" behindDoc="1" locked="0" layoutInCell="1" allowOverlap="1">
            <wp:simplePos x="0" y="0"/>
            <wp:positionH relativeFrom="column">
              <wp:posOffset>1662430</wp:posOffset>
            </wp:positionH>
            <wp:positionV relativeFrom="paragraph">
              <wp:posOffset>260985</wp:posOffset>
            </wp:positionV>
            <wp:extent cx="2557145" cy="484505"/>
            <wp:effectExtent l="0" t="0" r="0" b="0"/>
            <wp:wrapNone/>
            <wp:docPr id="5" name="Image 5" descr="RÃ©sultat de recherche d'images pour &quot;simucare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imucarepr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484505"/>
                    </a:xfrm>
                    <a:prstGeom prst="rect">
                      <a:avLst/>
                    </a:prstGeom>
                    <a:noFill/>
                    <a:ln>
                      <a:noFill/>
                    </a:ln>
                  </pic:spPr>
                </pic:pic>
              </a:graphicData>
            </a:graphic>
          </wp:anchor>
        </w:drawing>
      </w:r>
      <w:r w:rsidR="004D7E6A">
        <w:rPr>
          <w:noProof/>
          <w:sz w:val="44"/>
          <w:lang w:eastAsia="fr-BE"/>
        </w:rPr>
        <w:drawing>
          <wp:anchor distT="0" distB="0" distL="114300" distR="114300" simplePos="0" relativeHeight="251658240" behindDoc="1" locked="0" layoutInCell="1" allowOverlap="1">
            <wp:simplePos x="0" y="0"/>
            <wp:positionH relativeFrom="column">
              <wp:posOffset>-509270</wp:posOffset>
            </wp:positionH>
            <wp:positionV relativeFrom="paragraph">
              <wp:posOffset>-404495</wp:posOffset>
            </wp:positionV>
            <wp:extent cx="1685925" cy="5212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LMo paraméd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68" cy="528371"/>
                    </a:xfrm>
                    <a:prstGeom prst="rect">
                      <a:avLst/>
                    </a:prstGeom>
                  </pic:spPr>
                </pic:pic>
              </a:graphicData>
            </a:graphic>
            <wp14:sizeRelH relativeFrom="margin">
              <wp14:pctWidth>0</wp14:pctWidth>
            </wp14:sizeRelH>
            <wp14:sizeRelV relativeFrom="margin">
              <wp14:pctHeight>0</wp14:pctHeight>
            </wp14:sizeRelV>
          </wp:anchor>
        </w:drawing>
      </w:r>
      <w:r w:rsidR="004D7E6A">
        <w:rPr>
          <w:noProof/>
          <w:sz w:val="44"/>
          <w:lang w:eastAsia="fr-BE"/>
        </w:rPr>
        <w:drawing>
          <wp:anchor distT="0" distB="0" distL="114300" distR="114300" simplePos="0" relativeHeight="251659264" behindDoc="1" locked="0" layoutInCell="1" allowOverlap="1">
            <wp:simplePos x="0" y="0"/>
            <wp:positionH relativeFrom="column">
              <wp:posOffset>4702372</wp:posOffset>
            </wp:positionH>
            <wp:positionV relativeFrom="paragraph">
              <wp:posOffset>-499745</wp:posOffset>
            </wp:positionV>
            <wp:extent cx="1586668"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uliu Hatiegan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128" cy="726391"/>
                    </a:xfrm>
                    <a:prstGeom prst="rect">
                      <a:avLst/>
                    </a:prstGeom>
                  </pic:spPr>
                </pic:pic>
              </a:graphicData>
            </a:graphic>
            <wp14:sizeRelH relativeFrom="margin">
              <wp14:pctWidth>0</wp14:pctWidth>
            </wp14:sizeRelH>
            <wp14:sizeRelV relativeFrom="margin">
              <wp14:pctHeight>0</wp14:pctHeight>
            </wp14:sizeRelV>
          </wp:anchor>
        </w:drawing>
      </w:r>
      <w:r w:rsidR="004D7E6A">
        <w:rPr>
          <w:sz w:val="44"/>
        </w:rPr>
        <w:tab/>
      </w:r>
      <w:r w:rsidR="004D7E6A">
        <w:rPr>
          <w:sz w:val="44"/>
        </w:rPr>
        <w:tab/>
      </w:r>
    </w:p>
    <w:p w:rsidR="007A0085" w:rsidRDefault="004D7E6A" w:rsidP="007A0085">
      <w:pPr>
        <w:tabs>
          <w:tab w:val="left" w:pos="5430"/>
          <w:tab w:val="left" w:pos="6435"/>
        </w:tabs>
        <w:rPr>
          <w:sz w:val="44"/>
        </w:rPr>
      </w:pPr>
      <w:r>
        <w:rPr>
          <w:sz w:val="44"/>
        </w:rPr>
        <w:tab/>
      </w:r>
      <w:r>
        <w:rPr>
          <w:sz w:val="44"/>
        </w:rPr>
        <w:tab/>
      </w:r>
    </w:p>
    <w:p w:rsidR="00CC6B90" w:rsidRPr="00DE7BE8" w:rsidRDefault="004D7E6A" w:rsidP="007A0085">
      <w:pPr>
        <w:tabs>
          <w:tab w:val="left" w:pos="5430"/>
          <w:tab w:val="left" w:pos="6435"/>
        </w:tabs>
        <w:jc w:val="center"/>
        <w:rPr>
          <w:b/>
          <w:sz w:val="44"/>
          <w:lang w:val="en-GB"/>
        </w:rPr>
      </w:pPr>
      <w:r w:rsidRPr="00DE7BE8">
        <w:rPr>
          <w:b/>
          <w:sz w:val="44"/>
          <w:lang w:val="en-GB"/>
        </w:rPr>
        <w:t>UMF Protocol</w:t>
      </w:r>
    </w:p>
    <w:p w:rsidR="007A0085" w:rsidRDefault="007A0085" w:rsidP="00521B79">
      <w:pPr>
        <w:tabs>
          <w:tab w:val="left" w:pos="5430"/>
          <w:tab w:val="left" w:pos="6435"/>
        </w:tabs>
        <w:jc w:val="both"/>
        <w:rPr>
          <w:b/>
          <w:sz w:val="32"/>
          <w:lang w:val="en-GB"/>
        </w:rPr>
      </w:pPr>
      <w:r w:rsidRPr="00DE7BE8">
        <w:rPr>
          <w:b/>
          <w:sz w:val="32"/>
          <w:lang w:val="en-GB"/>
        </w:rPr>
        <w:t>Aims</w:t>
      </w:r>
    </w:p>
    <w:p w:rsidR="00DE7BE8" w:rsidRPr="00DE7BE8" w:rsidRDefault="00DE7BE8" w:rsidP="00521B79">
      <w:pPr>
        <w:tabs>
          <w:tab w:val="left" w:pos="5430"/>
          <w:tab w:val="left" w:pos="6435"/>
        </w:tabs>
        <w:jc w:val="both"/>
        <w:rPr>
          <w:sz w:val="24"/>
          <w:szCs w:val="24"/>
          <w:lang w:val="en-GB"/>
        </w:rPr>
      </w:pPr>
      <w:r w:rsidRPr="00DE7BE8">
        <w:rPr>
          <w:sz w:val="24"/>
          <w:szCs w:val="24"/>
          <w:lang w:val="en-GB"/>
        </w:rPr>
        <w:t>Adapted basic care in a patient with haemorrhagic shock.</w:t>
      </w:r>
    </w:p>
    <w:p w:rsidR="007A0085" w:rsidRDefault="007A0085" w:rsidP="00521B79">
      <w:pPr>
        <w:tabs>
          <w:tab w:val="left" w:pos="5430"/>
          <w:tab w:val="left" w:pos="6435"/>
        </w:tabs>
        <w:jc w:val="both"/>
        <w:rPr>
          <w:b/>
          <w:sz w:val="32"/>
          <w:lang w:val="en-GB"/>
        </w:rPr>
      </w:pPr>
      <w:r w:rsidRPr="007A0085">
        <w:rPr>
          <w:b/>
          <w:sz w:val="32"/>
          <w:lang w:val="en-GB"/>
        </w:rPr>
        <w:t>Initial medical evaluation</w:t>
      </w:r>
    </w:p>
    <w:p w:rsidR="00DE7BE8" w:rsidRPr="00DE7BE8" w:rsidRDefault="00DE7BE8" w:rsidP="00521B79">
      <w:pPr>
        <w:tabs>
          <w:tab w:val="left" w:pos="5430"/>
          <w:tab w:val="left" w:pos="6435"/>
        </w:tabs>
        <w:jc w:val="both"/>
        <w:rPr>
          <w:sz w:val="24"/>
          <w:szCs w:val="24"/>
          <w:lang w:val="en-GB"/>
        </w:rPr>
      </w:pPr>
      <w:r w:rsidRPr="00DE7BE8">
        <w:rPr>
          <w:sz w:val="24"/>
          <w:szCs w:val="24"/>
          <w:lang w:val="en-GB"/>
        </w:rPr>
        <w:t>Intense pain in the left hemi thorax, in the sternum area, with irradiation in the upper left to finger level, especially in the little finger. At the same time as the pain, the patient experienced nausea, dizziness and difficulty breathing.</w:t>
      </w:r>
    </w:p>
    <w:p w:rsidR="007A0085" w:rsidRDefault="007A0085" w:rsidP="00521B79">
      <w:pPr>
        <w:tabs>
          <w:tab w:val="left" w:pos="5430"/>
          <w:tab w:val="left" w:pos="6435"/>
        </w:tabs>
        <w:jc w:val="both"/>
        <w:rPr>
          <w:b/>
          <w:sz w:val="32"/>
          <w:lang w:val="en-GB"/>
        </w:rPr>
      </w:pPr>
      <w:r w:rsidRPr="007A0085">
        <w:rPr>
          <w:b/>
          <w:sz w:val="32"/>
          <w:lang w:val="en-GB"/>
        </w:rPr>
        <w:t>Secondary medical evaluation</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Patient in a state of agitation, cooperating</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xml:space="preserve">- </w:t>
      </w:r>
      <w:r w:rsidRPr="00DE7BE8">
        <w:rPr>
          <w:sz w:val="24"/>
          <w:szCs w:val="24"/>
          <w:lang w:val="en-GB"/>
        </w:rPr>
        <w:t>Afebrile</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xml:space="preserve">- </w:t>
      </w:r>
      <w:r w:rsidRPr="00DE7BE8">
        <w:rPr>
          <w:sz w:val="24"/>
          <w:szCs w:val="24"/>
          <w:lang w:val="en-GB"/>
        </w:rPr>
        <w:t>Sweating</w:t>
      </w:r>
      <w:r w:rsidRPr="00DE7BE8">
        <w:rPr>
          <w:sz w:val="24"/>
          <w:szCs w:val="24"/>
          <w:lang w:val="en-GB"/>
        </w:rPr>
        <w:t>, anxiety</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present pain, with the characteristics described, accentuated</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xml:space="preserve">- </w:t>
      </w:r>
      <w:r w:rsidRPr="00DE7BE8">
        <w:rPr>
          <w:sz w:val="24"/>
          <w:szCs w:val="24"/>
          <w:lang w:val="en-GB"/>
        </w:rPr>
        <w:t>Slight</w:t>
      </w:r>
      <w:r w:rsidRPr="00DE7BE8">
        <w:rPr>
          <w:sz w:val="24"/>
          <w:szCs w:val="24"/>
          <w:lang w:val="en-GB"/>
        </w:rPr>
        <w:t xml:space="preserve"> dyspnoea, whose intensity increases</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xml:space="preserve">- </w:t>
      </w:r>
      <w:r w:rsidRPr="00DE7BE8">
        <w:rPr>
          <w:sz w:val="24"/>
          <w:szCs w:val="24"/>
          <w:lang w:val="en-GB"/>
        </w:rPr>
        <w:t>Nausea</w:t>
      </w:r>
      <w:r w:rsidRPr="00DE7BE8">
        <w:rPr>
          <w:sz w:val="24"/>
          <w:szCs w:val="24"/>
          <w:lang w:val="en-GB"/>
        </w:rPr>
        <w:t>, vomiting</w:t>
      </w:r>
    </w:p>
    <w:p w:rsidR="007A0085" w:rsidRDefault="007A0085" w:rsidP="00521B79">
      <w:pPr>
        <w:tabs>
          <w:tab w:val="left" w:pos="5430"/>
          <w:tab w:val="left" w:pos="6435"/>
        </w:tabs>
        <w:jc w:val="both"/>
        <w:rPr>
          <w:b/>
          <w:sz w:val="32"/>
          <w:lang w:val="en-GB"/>
        </w:rPr>
      </w:pPr>
      <w:r>
        <w:rPr>
          <w:b/>
          <w:sz w:val="32"/>
          <w:lang w:val="en-GB"/>
        </w:rPr>
        <w:t>Treatment</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ABCDE assessment of the patient</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Support / standard monitoring</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Oxygen therapy</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Venous way</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- 12 lead ECG, posterior leads and straight leads</w:t>
      </w:r>
    </w:p>
    <w:p w:rsidR="00DE7BE8" w:rsidRPr="00DE7BE8" w:rsidRDefault="004C6EB9" w:rsidP="00DE7BE8">
      <w:pPr>
        <w:tabs>
          <w:tab w:val="left" w:pos="5430"/>
          <w:tab w:val="left" w:pos="6435"/>
        </w:tabs>
        <w:jc w:val="both"/>
        <w:rPr>
          <w:sz w:val="24"/>
          <w:szCs w:val="24"/>
          <w:lang w:val="en-GB"/>
        </w:rPr>
      </w:pPr>
      <w:r>
        <w:rPr>
          <w:sz w:val="24"/>
          <w:szCs w:val="24"/>
          <w:lang w:val="en-GB"/>
        </w:rPr>
        <w:t>- Cardio</w:t>
      </w:r>
      <w:r w:rsidR="00DE7BE8" w:rsidRPr="00DE7BE8">
        <w:rPr>
          <w:sz w:val="24"/>
          <w:szCs w:val="24"/>
          <w:lang w:val="en-GB"/>
        </w:rPr>
        <w:t xml:space="preserve"> examination in emergency</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xml:space="preserve">- Sampling for </w:t>
      </w:r>
      <w:r w:rsidR="004C6EB9" w:rsidRPr="00DE7BE8">
        <w:rPr>
          <w:sz w:val="24"/>
          <w:szCs w:val="24"/>
          <w:lang w:val="en-GB"/>
        </w:rPr>
        <w:t>analyses</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 Administer the first medication:</w:t>
      </w:r>
    </w:p>
    <w:p w:rsidR="00DE7BE8" w:rsidRPr="00DE7BE8" w:rsidRDefault="00DE7BE8" w:rsidP="00DE7BE8">
      <w:pPr>
        <w:tabs>
          <w:tab w:val="left" w:pos="5430"/>
          <w:tab w:val="left" w:pos="6435"/>
        </w:tabs>
        <w:jc w:val="both"/>
        <w:rPr>
          <w:sz w:val="24"/>
          <w:szCs w:val="24"/>
          <w:lang w:val="en-GB"/>
        </w:rPr>
      </w:pPr>
      <w:r w:rsidRPr="00DE7BE8">
        <w:rPr>
          <w:sz w:val="24"/>
          <w:szCs w:val="24"/>
          <w:lang w:val="en-GB"/>
        </w:rPr>
        <w:t>Aspirin 300 mg or</w:t>
      </w:r>
      <w:r w:rsidR="004C6EB9">
        <w:rPr>
          <w:sz w:val="24"/>
          <w:szCs w:val="24"/>
          <w:lang w:val="en-GB"/>
        </w:rPr>
        <w:t>al, chewable / aspirin 300 mg IV</w:t>
      </w:r>
    </w:p>
    <w:p w:rsidR="00DE7BE8" w:rsidRPr="00DE7BE8" w:rsidRDefault="00DE7BE8" w:rsidP="00DE7BE8">
      <w:pPr>
        <w:pStyle w:val="Paragraphedeliste"/>
        <w:numPr>
          <w:ilvl w:val="0"/>
          <w:numId w:val="2"/>
        </w:numPr>
        <w:tabs>
          <w:tab w:val="left" w:pos="5430"/>
          <w:tab w:val="left" w:pos="6435"/>
        </w:tabs>
        <w:jc w:val="both"/>
        <w:rPr>
          <w:sz w:val="24"/>
          <w:szCs w:val="24"/>
          <w:lang w:val="en-GB"/>
        </w:rPr>
      </w:pPr>
      <w:proofErr w:type="spellStart"/>
      <w:r w:rsidRPr="00DE7BE8">
        <w:rPr>
          <w:sz w:val="24"/>
          <w:szCs w:val="24"/>
          <w:lang w:val="en-GB"/>
        </w:rPr>
        <w:t>Ticagrelor</w:t>
      </w:r>
      <w:proofErr w:type="spellEnd"/>
      <w:r w:rsidRPr="00DE7BE8">
        <w:rPr>
          <w:sz w:val="24"/>
          <w:szCs w:val="24"/>
          <w:lang w:val="en-GB"/>
        </w:rPr>
        <w:t xml:space="preserve"> 180 mg </w:t>
      </w:r>
      <w:proofErr w:type="spellStart"/>
      <w:r w:rsidRPr="00DE7BE8">
        <w:rPr>
          <w:sz w:val="24"/>
          <w:szCs w:val="24"/>
          <w:lang w:val="en-GB"/>
        </w:rPr>
        <w:t>po</w:t>
      </w:r>
      <w:proofErr w:type="spellEnd"/>
    </w:p>
    <w:p w:rsidR="00DE7BE8" w:rsidRDefault="00DE7BE8" w:rsidP="00DE7BE8">
      <w:pPr>
        <w:pStyle w:val="Paragraphedeliste"/>
        <w:numPr>
          <w:ilvl w:val="0"/>
          <w:numId w:val="2"/>
        </w:numPr>
        <w:tabs>
          <w:tab w:val="left" w:pos="5430"/>
          <w:tab w:val="left" w:pos="6435"/>
        </w:tabs>
        <w:jc w:val="both"/>
        <w:rPr>
          <w:sz w:val="24"/>
          <w:szCs w:val="24"/>
          <w:lang w:val="en-GB"/>
        </w:rPr>
      </w:pPr>
      <w:r w:rsidRPr="00DE7BE8">
        <w:rPr>
          <w:sz w:val="24"/>
          <w:szCs w:val="24"/>
          <w:lang w:val="en-GB"/>
        </w:rPr>
        <w:t>Heparin bolus 5000 IU iv</w:t>
      </w:r>
    </w:p>
    <w:p w:rsidR="00DE7BE8" w:rsidRDefault="00DE7BE8" w:rsidP="00DE7BE8">
      <w:pPr>
        <w:pStyle w:val="Paragraphedeliste"/>
        <w:numPr>
          <w:ilvl w:val="0"/>
          <w:numId w:val="2"/>
        </w:numPr>
        <w:tabs>
          <w:tab w:val="left" w:pos="5430"/>
          <w:tab w:val="left" w:pos="6435"/>
        </w:tabs>
        <w:jc w:val="both"/>
        <w:rPr>
          <w:sz w:val="24"/>
          <w:szCs w:val="24"/>
          <w:lang w:val="en-GB"/>
        </w:rPr>
      </w:pPr>
      <w:r w:rsidRPr="00DE7BE8">
        <w:rPr>
          <w:sz w:val="24"/>
          <w:szCs w:val="24"/>
          <w:lang w:val="en-GB"/>
        </w:rPr>
        <w:t>Morphine doses of 2-3 mg iv until the pain is relieved</w:t>
      </w:r>
    </w:p>
    <w:p w:rsidR="00DE7BE8" w:rsidRDefault="00DE7BE8" w:rsidP="00DE7BE8">
      <w:pPr>
        <w:pStyle w:val="Paragraphedeliste"/>
        <w:numPr>
          <w:ilvl w:val="0"/>
          <w:numId w:val="2"/>
        </w:numPr>
        <w:tabs>
          <w:tab w:val="left" w:pos="5430"/>
          <w:tab w:val="left" w:pos="6435"/>
        </w:tabs>
        <w:jc w:val="both"/>
        <w:rPr>
          <w:sz w:val="24"/>
          <w:szCs w:val="24"/>
          <w:lang w:val="en-GB"/>
        </w:rPr>
      </w:pPr>
      <w:r w:rsidRPr="00DE7BE8">
        <w:rPr>
          <w:sz w:val="24"/>
          <w:szCs w:val="24"/>
          <w:lang w:val="en-GB"/>
        </w:rPr>
        <w:t>Midazolam 1-2 mg iv to reduce anxiety</w:t>
      </w:r>
    </w:p>
    <w:p w:rsidR="00DE7BE8" w:rsidRPr="00DE7BE8" w:rsidRDefault="00DE7BE8" w:rsidP="00DE7BE8">
      <w:pPr>
        <w:pStyle w:val="Paragraphedeliste"/>
        <w:numPr>
          <w:ilvl w:val="0"/>
          <w:numId w:val="2"/>
        </w:numPr>
        <w:tabs>
          <w:tab w:val="left" w:pos="5430"/>
          <w:tab w:val="left" w:pos="6435"/>
        </w:tabs>
        <w:jc w:val="both"/>
        <w:rPr>
          <w:sz w:val="24"/>
          <w:szCs w:val="24"/>
          <w:lang w:val="en-GB"/>
        </w:rPr>
      </w:pPr>
      <w:r w:rsidRPr="00DE7BE8">
        <w:rPr>
          <w:sz w:val="24"/>
          <w:szCs w:val="24"/>
          <w:lang w:val="en-GB"/>
        </w:rPr>
        <w:t>Lactated Ringer Solute by slow perfusion</w:t>
      </w:r>
    </w:p>
    <w:p w:rsidR="007A0085" w:rsidRDefault="007A0085" w:rsidP="00521B79">
      <w:pPr>
        <w:tabs>
          <w:tab w:val="left" w:pos="5430"/>
          <w:tab w:val="left" w:pos="6435"/>
        </w:tabs>
        <w:jc w:val="both"/>
        <w:rPr>
          <w:b/>
          <w:sz w:val="32"/>
          <w:lang w:val="en-GB"/>
        </w:rPr>
      </w:pPr>
      <w:r>
        <w:rPr>
          <w:b/>
          <w:sz w:val="32"/>
          <w:lang w:val="en-GB"/>
        </w:rPr>
        <w:t>Establish the treatment plan for the next 24 hours</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Repeat ABCDE</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Cardiologist decides on percutaneous emergency coronary intervention (PCI - emergency)</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Prepare the patient to take him to the angiography room</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Provide oxygen therapy, simple facial mask with a flow of 6-8 l / min</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Ensure the maintenance of venous routes</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Provide standard tracking during transport</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Administer antiemetic medication before transporting the patient</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Prepare the necessary equipment for the transport of the patient:</w:t>
      </w:r>
    </w:p>
    <w:p w:rsidR="004C6EB9" w:rsidRPr="004C6EB9" w:rsidRDefault="004C6EB9" w:rsidP="004C6EB9">
      <w:pPr>
        <w:tabs>
          <w:tab w:val="left" w:pos="5430"/>
          <w:tab w:val="left" w:pos="6435"/>
        </w:tabs>
        <w:jc w:val="both"/>
        <w:rPr>
          <w:sz w:val="24"/>
          <w:szCs w:val="24"/>
          <w:lang w:val="en-GB"/>
        </w:rPr>
      </w:pPr>
      <w:r>
        <w:rPr>
          <w:sz w:val="24"/>
          <w:szCs w:val="24"/>
          <w:lang w:val="en-GB"/>
        </w:rPr>
        <w:t xml:space="preserve">1. </w:t>
      </w:r>
      <w:r w:rsidRPr="004C6EB9">
        <w:rPr>
          <w:sz w:val="24"/>
          <w:szCs w:val="24"/>
          <w:lang w:val="en-GB"/>
        </w:rPr>
        <w:t>Standard tracking</w:t>
      </w:r>
    </w:p>
    <w:p w:rsidR="004C6EB9" w:rsidRPr="004C6EB9" w:rsidRDefault="004C6EB9" w:rsidP="004C6EB9">
      <w:pPr>
        <w:tabs>
          <w:tab w:val="left" w:pos="5430"/>
          <w:tab w:val="left" w:pos="6435"/>
        </w:tabs>
        <w:jc w:val="both"/>
        <w:rPr>
          <w:sz w:val="24"/>
          <w:szCs w:val="24"/>
          <w:lang w:val="en-GB"/>
        </w:rPr>
      </w:pPr>
      <w:r>
        <w:rPr>
          <w:sz w:val="24"/>
          <w:szCs w:val="24"/>
          <w:lang w:val="en-GB"/>
        </w:rPr>
        <w:t xml:space="preserve">2. </w:t>
      </w:r>
      <w:r w:rsidRPr="004C6EB9">
        <w:rPr>
          <w:sz w:val="24"/>
          <w:szCs w:val="24"/>
          <w:lang w:val="en-GB"/>
        </w:rPr>
        <w:t>First aid kit, which includes the necessary equipment to ensure the emergency airway as well as the necessary medication for cardiopulmonary resuscitation</w:t>
      </w:r>
    </w:p>
    <w:p w:rsidR="004C6EB9" w:rsidRPr="004C6EB9" w:rsidRDefault="004C6EB9" w:rsidP="004C6EB9">
      <w:pPr>
        <w:tabs>
          <w:tab w:val="left" w:pos="5430"/>
          <w:tab w:val="left" w:pos="6435"/>
        </w:tabs>
        <w:jc w:val="both"/>
        <w:rPr>
          <w:sz w:val="24"/>
          <w:szCs w:val="24"/>
          <w:lang w:val="en-GB"/>
        </w:rPr>
      </w:pPr>
      <w:r>
        <w:rPr>
          <w:sz w:val="24"/>
          <w:szCs w:val="24"/>
          <w:lang w:val="en-GB"/>
        </w:rPr>
        <w:t xml:space="preserve">3. </w:t>
      </w:r>
      <w:r w:rsidRPr="004C6EB9">
        <w:rPr>
          <w:sz w:val="24"/>
          <w:szCs w:val="24"/>
          <w:lang w:val="en-GB"/>
        </w:rPr>
        <w:t>Defibrillator with gel, palettes and patches</w:t>
      </w:r>
    </w:p>
    <w:p w:rsidR="004C6EB9" w:rsidRPr="004C6EB9" w:rsidRDefault="004C6EB9" w:rsidP="004C6EB9">
      <w:pPr>
        <w:tabs>
          <w:tab w:val="left" w:pos="5430"/>
          <w:tab w:val="left" w:pos="6435"/>
        </w:tabs>
        <w:jc w:val="both"/>
        <w:rPr>
          <w:sz w:val="24"/>
          <w:szCs w:val="24"/>
          <w:lang w:val="en-GB"/>
        </w:rPr>
      </w:pPr>
      <w:r>
        <w:rPr>
          <w:sz w:val="24"/>
          <w:szCs w:val="24"/>
          <w:lang w:val="en-GB"/>
        </w:rPr>
        <w:t xml:space="preserve">4. </w:t>
      </w:r>
      <w:r w:rsidRPr="004C6EB9">
        <w:rPr>
          <w:sz w:val="24"/>
          <w:szCs w:val="24"/>
          <w:lang w:val="en-GB"/>
        </w:rPr>
        <w:t>Oxygen bottle</w:t>
      </w:r>
    </w:p>
    <w:p w:rsidR="007A0085" w:rsidRDefault="007A0085" w:rsidP="00521B79">
      <w:pPr>
        <w:tabs>
          <w:tab w:val="left" w:pos="5430"/>
          <w:tab w:val="left" w:pos="6435"/>
        </w:tabs>
        <w:jc w:val="both"/>
        <w:rPr>
          <w:b/>
          <w:sz w:val="32"/>
          <w:lang w:val="en-GB"/>
        </w:rPr>
      </w:pPr>
      <w:r>
        <w:rPr>
          <w:b/>
          <w:sz w:val="32"/>
          <w:lang w:val="en-GB"/>
        </w:rPr>
        <w:t>Remarks</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Take into account the differential diagnoses:</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Dissection of the aorta, pulmonary thromboembolism, pneumothorax</w:t>
      </w:r>
    </w:p>
    <w:p w:rsidR="004C6EB9" w:rsidRPr="004C6EB9" w:rsidRDefault="004C6EB9" w:rsidP="004C6EB9">
      <w:pPr>
        <w:tabs>
          <w:tab w:val="left" w:pos="5430"/>
          <w:tab w:val="left" w:pos="6435"/>
        </w:tabs>
        <w:jc w:val="both"/>
        <w:rPr>
          <w:sz w:val="24"/>
          <w:szCs w:val="24"/>
          <w:lang w:val="en-GB"/>
        </w:rPr>
      </w:pPr>
      <w:r w:rsidRPr="004C6EB9">
        <w:rPr>
          <w:sz w:val="24"/>
          <w:szCs w:val="24"/>
          <w:lang w:val="en-GB"/>
        </w:rPr>
        <w:t xml:space="preserve">- Complementary </w:t>
      </w:r>
      <w:r w:rsidRPr="004C6EB9">
        <w:rPr>
          <w:sz w:val="24"/>
          <w:szCs w:val="24"/>
          <w:lang w:val="en-GB"/>
        </w:rPr>
        <w:t>analyses</w:t>
      </w:r>
      <w:r w:rsidRPr="004C6EB9">
        <w:rPr>
          <w:sz w:val="24"/>
          <w:szCs w:val="24"/>
          <w:lang w:val="en-GB"/>
        </w:rPr>
        <w:t>: Echocardiography, Emergency chest X-ray</w:t>
      </w:r>
    </w:p>
    <w:p w:rsidR="007A0085" w:rsidRDefault="007A0085" w:rsidP="00521B79">
      <w:pPr>
        <w:tabs>
          <w:tab w:val="left" w:pos="5430"/>
          <w:tab w:val="left" w:pos="6435"/>
        </w:tabs>
        <w:jc w:val="both"/>
        <w:rPr>
          <w:b/>
          <w:sz w:val="32"/>
          <w:lang w:val="en-GB"/>
        </w:rPr>
      </w:pPr>
      <w:r>
        <w:rPr>
          <w:b/>
          <w:sz w:val="32"/>
          <w:lang w:val="en-GB"/>
        </w:rPr>
        <w:t>Expert references and recommendations</w:t>
      </w:r>
    </w:p>
    <w:p w:rsidR="00CA53E8" w:rsidRPr="00CA53E8" w:rsidRDefault="00CA53E8" w:rsidP="00CA53E8">
      <w:pPr>
        <w:pStyle w:val="Default"/>
        <w:rPr>
          <w:sz w:val="23"/>
          <w:szCs w:val="23"/>
          <w:lang w:val="en-GB"/>
        </w:rPr>
      </w:pPr>
      <w:r w:rsidRPr="00CA53E8">
        <w:rPr>
          <w:sz w:val="23"/>
          <w:szCs w:val="23"/>
          <w:lang w:val="en-GB"/>
        </w:rPr>
        <w:t xml:space="preserve">ERC - European resuscitation council guidelines for resuscitation 2015. Section 8. Initial Management of Acute Coronary Syndromes </w:t>
      </w:r>
    </w:p>
    <w:p w:rsidR="00CA53E8" w:rsidRPr="00CA53E8" w:rsidRDefault="00CA53E8" w:rsidP="00CA53E8">
      <w:pPr>
        <w:pStyle w:val="Default"/>
        <w:rPr>
          <w:sz w:val="23"/>
          <w:szCs w:val="23"/>
          <w:lang w:val="en-GB"/>
        </w:rPr>
      </w:pPr>
      <w:r w:rsidRPr="00CA53E8">
        <w:rPr>
          <w:sz w:val="23"/>
          <w:szCs w:val="23"/>
          <w:lang w:val="en-GB"/>
        </w:rPr>
        <w:t xml:space="preserve">ESC - European society of cardiology - </w:t>
      </w:r>
      <w:r>
        <w:rPr>
          <w:sz w:val="23"/>
          <w:szCs w:val="23"/>
          <w:lang w:val="en-GB"/>
        </w:rPr>
        <w:t>Guidelines</w:t>
      </w:r>
      <w:bookmarkStart w:id="0" w:name="_GoBack"/>
      <w:bookmarkEnd w:id="0"/>
      <w:r w:rsidRPr="00CA53E8">
        <w:rPr>
          <w:sz w:val="23"/>
          <w:szCs w:val="23"/>
          <w:lang w:val="en-GB"/>
        </w:rPr>
        <w:t xml:space="preserve">: Acute Myocardial Infarction in patients presenting with ST- segment elevation - 2017 </w:t>
      </w:r>
      <w:proofErr w:type="spellStart"/>
      <w:r w:rsidRPr="00CA53E8">
        <w:rPr>
          <w:sz w:val="23"/>
          <w:szCs w:val="23"/>
          <w:lang w:val="en-GB"/>
        </w:rPr>
        <w:t>guidlines</w:t>
      </w:r>
      <w:proofErr w:type="spellEnd"/>
      <w:r w:rsidRPr="00CA53E8">
        <w:rPr>
          <w:sz w:val="23"/>
          <w:szCs w:val="23"/>
          <w:lang w:val="en-GB"/>
        </w:rPr>
        <w:t xml:space="preserve"> </w:t>
      </w:r>
    </w:p>
    <w:p w:rsidR="00CA53E8" w:rsidRDefault="00CA53E8" w:rsidP="00CA53E8">
      <w:pPr>
        <w:pStyle w:val="Default"/>
        <w:rPr>
          <w:sz w:val="23"/>
          <w:szCs w:val="23"/>
        </w:rPr>
      </w:pPr>
      <w:r>
        <w:rPr>
          <w:sz w:val="23"/>
          <w:szCs w:val="23"/>
        </w:rPr>
        <w:t xml:space="preserve">SFAR - Société Française d’Anesthésie et de Réanimation </w:t>
      </w:r>
    </w:p>
    <w:p w:rsidR="007A0085" w:rsidRPr="007A0085" w:rsidRDefault="00CA53E8" w:rsidP="00CA53E8">
      <w:pPr>
        <w:tabs>
          <w:tab w:val="left" w:pos="5430"/>
          <w:tab w:val="left" w:pos="6435"/>
        </w:tabs>
        <w:rPr>
          <w:b/>
          <w:sz w:val="32"/>
          <w:lang w:val="en-GB"/>
        </w:rPr>
      </w:pPr>
      <w:r w:rsidRPr="00CA53E8">
        <w:rPr>
          <w:sz w:val="23"/>
          <w:szCs w:val="23"/>
          <w:lang w:val="en-GB"/>
        </w:rPr>
        <w:t xml:space="preserve">ERC European resuscitation council guidelines for resuscitation 2015. </w:t>
      </w:r>
      <w:r>
        <w:rPr>
          <w:sz w:val="23"/>
          <w:szCs w:val="23"/>
        </w:rPr>
        <w:t xml:space="preserve">Section 3. </w:t>
      </w:r>
      <w:proofErr w:type="spellStart"/>
      <w:r>
        <w:rPr>
          <w:sz w:val="23"/>
          <w:szCs w:val="23"/>
        </w:rPr>
        <w:t>Adult</w:t>
      </w:r>
      <w:proofErr w:type="spellEnd"/>
      <w:r>
        <w:rPr>
          <w:sz w:val="23"/>
          <w:szCs w:val="23"/>
        </w:rPr>
        <w:t xml:space="preserve"> </w:t>
      </w:r>
      <w:proofErr w:type="spellStart"/>
      <w:r>
        <w:rPr>
          <w:sz w:val="23"/>
          <w:szCs w:val="23"/>
        </w:rPr>
        <w:t>advanced</w:t>
      </w:r>
      <w:proofErr w:type="spellEnd"/>
      <w:r>
        <w:rPr>
          <w:sz w:val="23"/>
          <w:szCs w:val="23"/>
        </w:rPr>
        <w:t xml:space="preserve"> life support.</w:t>
      </w:r>
    </w:p>
    <w:p w:rsidR="007A0085" w:rsidRPr="007A0085" w:rsidRDefault="007A0085" w:rsidP="007A0085">
      <w:pPr>
        <w:tabs>
          <w:tab w:val="left" w:pos="5430"/>
          <w:tab w:val="left" w:pos="6435"/>
        </w:tabs>
        <w:rPr>
          <w:sz w:val="44"/>
          <w:lang w:val="en-GB"/>
        </w:rPr>
      </w:pPr>
    </w:p>
    <w:p w:rsidR="004D7E6A" w:rsidRPr="007A0085" w:rsidRDefault="004D7E6A">
      <w:pPr>
        <w:rPr>
          <w:lang w:val="en-GB"/>
        </w:rPr>
      </w:pPr>
    </w:p>
    <w:sectPr w:rsidR="004D7E6A" w:rsidRPr="007A00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6A" w:rsidRDefault="004D7E6A" w:rsidP="004D7E6A">
      <w:pPr>
        <w:spacing w:after="0" w:line="240" w:lineRule="auto"/>
      </w:pPr>
      <w:r>
        <w:separator/>
      </w:r>
    </w:p>
  </w:endnote>
  <w:endnote w:type="continuationSeparator" w:id="0">
    <w:p w:rsidR="004D7E6A" w:rsidRDefault="004D7E6A" w:rsidP="004D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6A" w:rsidRDefault="004D7E6A" w:rsidP="004D7E6A">
    <w:pPr>
      <w:pStyle w:val="Pieddepage"/>
      <w:jc w:val="center"/>
    </w:pPr>
    <w:r>
      <w:rPr>
        <w:noProof/>
        <w:lang w:eastAsia="fr-BE"/>
      </w:rPr>
      <w:drawing>
        <wp:inline distT="0" distB="0" distL="0" distR="0">
          <wp:extent cx="1778000" cy="5908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asmus+ complet (francais).jpg"/>
                  <pic:cNvPicPr/>
                </pic:nvPicPr>
                <pic:blipFill>
                  <a:blip r:embed="rId1">
                    <a:extLst>
                      <a:ext uri="{28A0092B-C50C-407E-A947-70E740481C1C}">
                        <a14:useLocalDpi xmlns:a14="http://schemas.microsoft.com/office/drawing/2010/main" val="0"/>
                      </a:ext>
                    </a:extLst>
                  </a:blip>
                  <a:stretch>
                    <a:fillRect/>
                  </a:stretch>
                </pic:blipFill>
                <pic:spPr>
                  <a:xfrm>
                    <a:off x="0" y="0"/>
                    <a:ext cx="1807858" cy="60074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6A" w:rsidRDefault="004D7E6A" w:rsidP="004D7E6A">
      <w:pPr>
        <w:spacing w:after="0" w:line="240" w:lineRule="auto"/>
      </w:pPr>
      <w:r>
        <w:separator/>
      </w:r>
    </w:p>
  </w:footnote>
  <w:footnote w:type="continuationSeparator" w:id="0">
    <w:p w:rsidR="004D7E6A" w:rsidRDefault="004D7E6A" w:rsidP="004D7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C7F"/>
    <w:multiLevelType w:val="hybridMultilevel"/>
    <w:tmpl w:val="F1B2F67E"/>
    <w:lvl w:ilvl="0" w:tplc="0E762D3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F0612B"/>
    <w:multiLevelType w:val="hybridMultilevel"/>
    <w:tmpl w:val="C2B65C00"/>
    <w:lvl w:ilvl="0" w:tplc="50286B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6A"/>
    <w:rsid w:val="004B56C7"/>
    <w:rsid w:val="004C6EB9"/>
    <w:rsid w:val="004D7E6A"/>
    <w:rsid w:val="00521B79"/>
    <w:rsid w:val="00736808"/>
    <w:rsid w:val="007A0085"/>
    <w:rsid w:val="00CA53E8"/>
    <w:rsid w:val="00CC6B90"/>
    <w:rsid w:val="00DE7B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25363F-AD7D-46B4-B2D9-40DCB4C8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7E6A"/>
    <w:pPr>
      <w:tabs>
        <w:tab w:val="center" w:pos="4536"/>
        <w:tab w:val="right" w:pos="9072"/>
      </w:tabs>
      <w:spacing w:after="0" w:line="240" w:lineRule="auto"/>
    </w:pPr>
  </w:style>
  <w:style w:type="character" w:customStyle="1" w:styleId="En-tteCar">
    <w:name w:val="En-tête Car"/>
    <w:basedOn w:val="Policepardfaut"/>
    <w:link w:val="En-tte"/>
    <w:uiPriority w:val="99"/>
    <w:rsid w:val="004D7E6A"/>
  </w:style>
  <w:style w:type="paragraph" w:styleId="Pieddepage">
    <w:name w:val="footer"/>
    <w:basedOn w:val="Normal"/>
    <w:link w:val="PieddepageCar"/>
    <w:uiPriority w:val="99"/>
    <w:unhideWhenUsed/>
    <w:rsid w:val="004D7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E6A"/>
  </w:style>
  <w:style w:type="paragraph" w:styleId="Paragraphedeliste">
    <w:name w:val="List Paragraph"/>
    <w:basedOn w:val="Normal"/>
    <w:uiPriority w:val="34"/>
    <w:qFormat/>
    <w:rsid w:val="004B56C7"/>
    <w:pPr>
      <w:ind w:left="720"/>
      <w:contextualSpacing/>
    </w:pPr>
  </w:style>
  <w:style w:type="paragraph" w:customStyle="1" w:styleId="Default">
    <w:name w:val="Default"/>
    <w:rsid w:val="00CA53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69CD-622C-4E46-9CB3-0D4311DF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Gazzotti</dc:creator>
  <cp:keywords/>
  <dc:description/>
  <cp:lastModifiedBy>Pauline Gazzotti</cp:lastModifiedBy>
  <cp:revision>3</cp:revision>
  <dcterms:created xsi:type="dcterms:W3CDTF">2018-12-05T12:43:00Z</dcterms:created>
  <dcterms:modified xsi:type="dcterms:W3CDTF">2018-12-05T14:33:00Z</dcterms:modified>
</cp:coreProperties>
</file>