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0D9" w:rsidRDefault="001100D9">
      <w:r>
        <w:rPr>
          <w:noProof/>
          <w:lang w:eastAsia="fr-BE"/>
        </w:rPr>
        <w:drawing>
          <wp:anchor distT="0" distB="0" distL="114300" distR="114300" simplePos="0" relativeHeight="251659264" behindDoc="1" locked="0" layoutInCell="1" allowOverlap="1">
            <wp:simplePos x="0" y="0"/>
            <wp:positionH relativeFrom="column">
              <wp:posOffset>2966085</wp:posOffset>
            </wp:positionH>
            <wp:positionV relativeFrom="paragraph">
              <wp:posOffset>-471170</wp:posOffset>
            </wp:positionV>
            <wp:extent cx="3416108" cy="647700"/>
            <wp:effectExtent l="0" t="0" r="0" b="0"/>
            <wp:wrapNone/>
            <wp:docPr id="2" name="Image 2" descr="RÃ©sultat de recherche d'images pour &quot;simucarepr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simucarepro&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6108"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58240" behindDoc="1" locked="0" layoutInCell="1" allowOverlap="1">
            <wp:simplePos x="0" y="0"/>
            <wp:positionH relativeFrom="column">
              <wp:posOffset>-652145</wp:posOffset>
            </wp:positionH>
            <wp:positionV relativeFrom="paragraph">
              <wp:posOffset>-633095</wp:posOffset>
            </wp:positionV>
            <wp:extent cx="2504287" cy="9239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Lume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4287" cy="923925"/>
                    </a:xfrm>
                    <a:prstGeom prst="rect">
                      <a:avLst/>
                    </a:prstGeom>
                  </pic:spPr>
                </pic:pic>
              </a:graphicData>
            </a:graphic>
          </wp:anchor>
        </w:drawing>
      </w:r>
    </w:p>
    <w:p w:rsidR="001100D9" w:rsidRPr="001100D9" w:rsidRDefault="001100D9" w:rsidP="001100D9"/>
    <w:p w:rsidR="001100D9" w:rsidRDefault="001100D9" w:rsidP="001100D9"/>
    <w:p w:rsidR="00D53A63" w:rsidRDefault="001100D9" w:rsidP="00D53A63">
      <w:pPr>
        <w:jc w:val="center"/>
        <w:rPr>
          <w:b/>
          <w:sz w:val="40"/>
          <w:lang w:val="en-GB"/>
        </w:rPr>
      </w:pPr>
      <w:proofErr w:type="spellStart"/>
      <w:r w:rsidRPr="00EB6872">
        <w:rPr>
          <w:b/>
          <w:sz w:val="40"/>
          <w:lang w:val="en-GB"/>
        </w:rPr>
        <w:t>ILumens</w:t>
      </w:r>
      <w:proofErr w:type="spellEnd"/>
      <w:r w:rsidRPr="00EB6872">
        <w:rPr>
          <w:b/>
          <w:sz w:val="40"/>
          <w:lang w:val="en-GB"/>
        </w:rPr>
        <w:t xml:space="preserve"> Protocol</w:t>
      </w:r>
    </w:p>
    <w:p w:rsidR="00D53A63" w:rsidRPr="00D53A63" w:rsidRDefault="00D53A63" w:rsidP="00D53A63">
      <w:pPr>
        <w:jc w:val="center"/>
        <w:rPr>
          <w:b/>
          <w:sz w:val="40"/>
          <w:lang w:val="en-GB"/>
        </w:rPr>
      </w:pPr>
      <w:r w:rsidRPr="00D53A63">
        <w:rPr>
          <w:b/>
          <w:sz w:val="40"/>
          <w:lang w:val="en-GB"/>
        </w:rPr>
        <w:t>Management of anaphylaxis following drug administration</w:t>
      </w:r>
    </w:p>
    <w:p w:rsidR="00EB6872" w:rsidRDefault="00EB6872" w:rsidP="001100D9">
      <w:pPr>
        <w:jc w:val="both"/>
        <w:rPr>
          <w:rFonts w:ascii="Segoe UI Symbol" w:hAnsi="Segoe UI Symbol" w:cs="Segoe UI Symbol"/>
          <w:b/>
          <w:sz w:val="24"/>
          <w:szCs w:val="24"/>
          <w:lang w:val="en-GB"/>
        </w:rPr>
      </w:pPr>
      <w:r>
        <w:rPr>
          <w:rFonts w:ascii="Segoe UI Symbol" w:hAnsi="Segoe UI Symbol" w:cs="Segoe UI Symbol"/>
          <w:b/>
          <w:sz w:val="24"/>
          <w:szCs w:val="24"/>
          <w:lang w:val="en-GB"/>
        </w:rPr>
        <w:t>Aim</w:t>
      </w:r>
    </w:p>
    <w:p w:rsidR="00EB6872" w:rsidRDefault="00EB6872" w:rsidP="001100D9">
      <w:pPr>
        <w:jc w:val="both"/>
        <w:rPr>
          <w:sz w:val="24"/>
          <w:szCs w:val="24"/>
          <w:lang w:val="en-GB"/>
        </w:rPr>
      </w:pPr>
      <w:r w:rsidRPr="00EB6872">
        <w:rPr>
          <w:sz w:val="24"/>
          <w:szCs w:val="24"/>
          <w:lang w:val="en-GB"/>
        </w:rPr>
        <w:t>Establishment of a protocol for the management of anaphylaxis following drug administration</w:t>
      </w:r>
    </w:p>
    <w:p w:rsidR="00EB6872" w:rsidRDefault="00EB6872" w:rsidP="001100D9">
      <w:pPr>
        <w:jc w:val="both"/>
        <w:rPr>
          <w:b/>
          <w:sz w:val="24"/>
          <w:szCs w:val="24"/>
          <w:lang w:val="en-GB"/>
        </w:rPr>
      </w:pPr>
      <w:r>
        <w:rPr>
          <w:b/>
          <w:sz w:val="24"/>
          <w:szCs w:val="24"/>
          <w:lang w:val="en-GB"/>
        </w:rPr>
        <w:t>F</w:t>
      </w:r>
      <w:r w:rsidRPr="00EB6872">
        <w:rPr>
          <w:b/>
          <w:sz w:val="24"/>
          <w:szCs w:val="24"/>
          <w:lang w:val="en-GB"/>
        </w:rPr>
        <w:t>ield of application and professionals concerned</w:t>
      </w:r>
    </w:p>
    <w:p w:rsidR="00D937D9" w:rsidRDefault="00D937D9" w:rsidP="001100D9">
      <w:pPr>
        <w:jc w:val="both"/>
        <w:rPr>
          <w:sz w:val="24"/>
          <w:szCs w:val="24"/>
          <w:lang w:val="en-GB"/>
        </w:rPr>
      </w:pPr>
      <w:r>
        <w:rPr>
          <w:sz w:val="24"/>
          <w:szCs w:val="24"/>
          <w:lang w:val="en-GB"/>
        </w:rPr>
        <w:t>All patients, all services</w:t>
      </w:r>
    </w:p>
    <w:p w:rsidR="00D937D9" w:rsidRDefault="00D937D9" w:rsidP="001100D9">
      <w:pPr>
        <w:jc w:val="both"/>
        <w:rPr>
          <w:sz w:val="24"/>
          <w:szCs w:val="24"/>
          <w:lang w:val="en-GB"/>
        </w:rPr>
      </w:pPr>
      <w:r>
        <w:rPr>
          <w:sz w:val="24"/>
          <w:szCs w:val="24"/>
          <w:lang w:val="en-GB"/>
        </w:rPr>
        <w:t>…</w:t>
      </w:r>
    </w:p>
    <w:p w:rsidR="00D937D9" w:rsidRDefault="00D937D9" w:rsidP="001100D9">
      <w:pPr>
        <w:jc w:val="both"/>
        <w:rPr>
          <w:b/>
          <w:sz w:val="24"/>
          <w:szCs w:val="24"/>
          <w:lang w:val="en-GB"/>
        </w:rPr>
      </w:pPr>
      <w:r>
        <w:rPr>
          <w:b/>
          <w:sz w:val="24"/>
          <w:szCs w:val="24"/>
          <w:lang w:val="en-GB"/>
        </w:rPr>
        <w:t>Reference documents</w:t>
      </w:r>
    </w:p>
    <w:p w:rsidR="00D937D9" w:rsidRPr="00D937D9" w:rsidRDefault="00D937D9" w:rsidP="00D937D9">
      <w:pPr>
        <w:jc w:val="both"/>
        <w:rPr>
          <w:sz w:val="24"/>
          <w:szCs w:val="24"/>
          <w:lang w:val="en-GB"/>
        </w:rPr>
      </w:pPr>
      <w:r w:rsidRPr="00D937D9">
        <w:rPr>
          <w:rFonts w:ascii="Segoe UI Symbol" w:hAnsi="Segoe UI Symbol" w:cs="Segoe UI Symbol"/>
          <w:sz w:val="24"/>
          <w:szCs w:val="24"/>
          <w:lang w:val="en-GB"/>
        </w:rPr>
        <w:t>➢</w:t>
      </w:r>
      <w:r w:rsidRPr="00D937D9">
        <w:rPr>
          <w:sz w:val="24"/>
          <w:szCs w:val="24"/>
          <w:lang w:val="en-GB"/>
        </w:rPr>
        <w:t xml:space="preserve"> Recommendations by the French Society of Emergency Medicine</w:t>
      </w:r>
    </w:p>
    <w:p w:rsidR="00D937D9" w:rsidRPr="00D937D9" w:rsidRDefault="00D937D9" w:rsidP="00D937D9">
      <w:pPr>
        <w:jc w:val="both"/>
        <w:rPr>
          <w:sz w:val="24"/>
          <w:szCs w:val="24"/>
          <w:lang w:val="en-GB"/>
        </w:rPr>
      </w:pPr>
      <w:r w:rsidRPr="00D937D9">
        <w:rPr>
          <w:rFonts w:ascii="Segoe UI Symbol" w:hAnsi="Segoe UI Symbol" w:cs="Segoe UI Symbol"/>
          <w:sz w:val="24"/>
          <w:szCs w:val="24"/>
          <w:lang w:val="en-GB"/>
        </w:rPr>
        <w:t>➢</w:t>
      </w:r>
      <w:r w:rsidRPr="00D937D9">
        <w:rPr>
          <w:sz w:val="24"/>
          <w:szCs w:val="24"/>
          <w:lang w:val="en-GB"/>
        </w:rPr>
        <w:t xml:space="preserve"> Public Health Code - Articles R 4311</w:t>
      </w:r>
    </w:p>
    <w:p w:rsidR="00D937D9" w:rsidRDefault="00D937D9" w:rsidP="00D937D9">
      <w:pPr>
        <w:jc w:val="both"/>
        <w:rPr>
          <w:sz w:val="24"/>
          <w:szCs w:val="24"/>
          <w:lang w:val="en-GB"/>
        </w:rPr>
      </w:pPr>
      <w:r w:rsidRPr="00D937D9">
        <w:rPr>
          <w:rFonts w:ascii="Segoe UI Symbol" w:hAnsi="Segoe UI Symbol" w:cs="Segoe UI Symbol"/>
          <w:sz w:val="24"/>
          <w:szCs w:val="24"/>
          <w:lang w:val="en-GB"/>
        </w:rPr>
        <w:t>➢</w:t>
      </w:r>
      <w:r w:rsidRPr="00D937D9">
        <w:rPr>
          <w:sz w:val="24"/>
          <w:szCs w:val="24"/>
          <w:lang w:val="en-GB"/>
        </w:rPr>
        <w:t xml:space="preserve"> Decree of 31 July 2009 on the state diploma of nurses</w:t>
      </w:r>
    </w:p>
    <w:p w:rsidR="00D937D9" w:rsidRDefault="00D937D9" w:rsidP="00D937D9">
      <w:pPr>
        <w:jc w:val="both"/>
        <w:rPr>
          <w:b/>
          <w:sz w:val="24"/>
          <w:szCs w:val="24"/>
          <w:lang w:val="en-GB"/>
        </w:rPr>
      </w:pPr>
      <w:r>
        <w:rPr>
          <w:b/>
          <w:sz w:val="24"/>
          <w:szCs w:val="24"/>
          <w:lang w:val="en-GB"/>
        </w:rPr>
        <w:t>Associated documents</w:t>
      </w:r>
    </w:p>
    <w:p w:rsidR="00D937D9" w:rsidRPr="00D937D9" w:rsidRDefault="00D937D9" w:rsidP="00D937D9">
      <w:pPr>
        <w:jc w:val="both"/>
        <w:rPr>
          <w:sz w:val="24"/>
          <w:szCs w:val="24"/>
          <w:lang w:val="en-GB"/>
        </w:rPr>
      </w:pPr>
      <w:r w:rsidRPr="00D937D9">
        <w:rPr>
          <w:rFonts w:ascii="Segoe UI Symbol" w:hAnsi="Segoe UI Symbol" w:cs="Segoe UI Symbol"/>
          <w:sz w:val="24"/>
          <w:szCs w:val="24"/>
          <w:lang w:val="en-GB"/>
        </w:rPr>
        <w:t>➢</w:t>
      </w:r>
      <w:r w:rsidRPr="00D937D9">
        <w:rPr>
          <w:sz w:val="24"/>
          <w:szCs w:val="24"/>
          <w:lang w:val="en-GB"/>
        </w:rPr>
        <w:t xml:space="preserve"> Ann. Med. Emergency (2016) 6: 342-364</w:t>
      </w:r>
    </w:p>
    <w:p w:rsidR="00D937D9" w:rsidRPr="00D937D9" w:rsidRDefault="00D937D9" w:rsidP="00D937D9">
      <w:pPr>
        <w:jc w:val="both"/>
        <w:rPr>
          <w:sz w:val="24"/>
          <w:szCs w:val="24"/>
          <w:lang w:val="en-GB"/>
        </w:rPr>
      </w:pPr>
      <w:r w:rsidRPr="00D937D9">
        <w:rPr>
          <w:sz w:val="24"/>
          <w:szCs w:val="24"/>
          <w:lang w:val="en-GB"/>
        </w:rPr>
        <w:t>DOI 10.1007 / s13341-016-0668-2</w:t>
      </w:r>
    </w:p>
    <w:p w:rsidR="00D937D9" w:rsidRPr="00D937D9" w:rsidRDefault="00D937D9" w:rsidP="00D937D9">
      <w:pPr>
        <w:jc w:val="both"/>
        <w:rPr>
          <w:sz w:val="24"/>
          <w:szCs w:val="24"/>
          <w:lang w:val="en-GB"/>
        </w:rPr>
      </w:pPr>
      <w:r w:rsidRPr="00D937D9">
        <w:rPr>
          <w:sz w:val="24"/>
          <w:szCs w:val="24"/>
          <w:lang w:val="en-GB"/>
        </w:rPr>
        <w:t xml:space="preserve">RECOMMENDATIONS: Management of anaphylaxis in emergency medicine. Recommendations of the French Society of Emergency Medicine (SFMU) in partnership with the French Society of Allergy (SFA) and the French Group for Resuscitation and </w:t>
      </w:r>
      <w:proofErr w:type="spellStart"/>
      <w:r w:rsidRPr="00D937D9">
        <w:rPr>
          <w:sz w:val="24"/>
          <w:szCs w:val="24"/>
          <w:lang w:val="en-GB"/>
        </w:rPr>
        <w:t>Pediatric</w:t>
      </w:r>
      <w:proofErr w:type="spellEnd"/>
      <w:r w:rsidRPr="00D937D9">
        <w:rPr>
          <w:sz w:val="24"/>
          <w:szCs w:val="24"/>
          <w:lang w:val="en-GB"/>
        </w:rPr>
        <w:t xml:space="preserve"> Emergencies (GFRUP), and the support of the </w:t>
      </w:r>
      <w:proofErr w:type="spellStart"/>
      <w:r w:rsidRPr="00D937D9">
        <w:rPr>
          <w:sz w:val="24"/>
          <w:szCs w:val="24"/>
          <w:lang w:val="en-GB"/>
        </w:rPr>
        <w:t>Pediatric</w:t>
      </w:r>
      <w:proofErr w:type="spellEnd"/>
      <w:r w:rsidRPr="00D937D9">
        <w:rPr>
          <w:sz w:val="24"/>
          <w:szCs w:val="24"/>
          <w:lang w:val="en-GB"/>
        </w:rPr>
        <w:t xml:space="preserve"> Society of </w:t>
      </w:r>
      <w:proofErr w:type="spellStart"/>
      <w:r w:rsidRPr="00D937D9">
        <w:rPr>
          <w:sz w:val="24"/>
          <w:szCs w:val="24"/>
          <w:lang w:val="en-GB"/>
        </w:rPr>
        <w:t>Pneumology</w:t>
      </w:r>
      <w:proofErr w:type="spellEnd"/>
      <w:r w:rsidRPr="00D937D9">
        <w:rPr>
          <w:sz w:val="24"/>
          <w:szCs w:val="24"/>
          <w:lang w:val="en-GB"/>
        </w:rPr>
        <w:t xml:space="preserve"> and Allergy.</w:t>
      </w:r>
    </w:p>
    <w:p w:rsidR="00D937D9" w:rsidRDefault="00D937D9" w:rsidP="00D937D9">
      <w:pPr>
        <w:jc w:val="both"/>
        <w:rPr>
          <w:sz w:val="24"/>
          <w:szCs w:val="24"/>
          <w:lang w:val="en-GB"/>
        </w:rPr>
      </w:pPr>
      <w:r w:rsidRPr="00D937D9">
        <w:rPr>
          <w:rFonts w:ascii="Segoe UI Symbol" w:hAnsi="Segoe UI Symbol" w:cs="Segoe UI Symbol"/>
          <w:sz w:val="24"/>
          <w:szCs w:val="24"/>
          <w:lang w:val="en-GB"/>
        </w:rPr>
        <w:t>➢</w:t>
      </w:r>
      <w:r w:rsidRPr="00D937D9">
        <w:rPr>
          <w:sz w:val="24"/>
          <w:szCs w:val="24"/>
          <w:lang w:val="en-GB"/>
        </w:rPr>
        <w:t xml:space="preserve"> Clinical criteria of Sampson</w:t>
      </w:r>
    </w:p>
    <w:p w:rsidR="00D937D9" w:rsidRDefault="00D53A63" w:rsidP="00D937D9">
      <w:pPr>
        <w:jc w:val="both"/>
        <w:rPr>
          <w:b/>
          <w:sz w:val="24"/>
          <w:szCs w:val="24"/>
          <w:lang w:val="en-GB"/>
        </w:rPr>
      </w:pPr>
      <w:r>
        <w:rPr>
          <w:b/>
          <w:sz w:val="24"/>
          <w:szCs w:val="24"/>
          <w:lang w:val="en-GB"/>
        </w:rPr>
        <w:t>Generalities</w:t>
      </w:r>
    </w:p>
    <w:p w:rsidR="00D53A63" w:rsidRDefault="00D53A63" w:rsidP="00D937D9">
      <w:pPr>
        <w:jc w:val="both"/>
        <w:rPr>
          <w:sz w:val="24"/>
          <w:szCs w:val="24"/>
          <w:lang w:val="en-GB"/>
        </w:rPr>
      </w:pPr>
      <w:r w:rsidRPr="00D53A63">
        <w:rPr>
          <w:sz w:val="24"/>
          <w:szCs w:val="24"/>
          <w:lang w:val="en-GB"/>
        </w:rPr>
        <w:t>Allergic reactions may occur after each drug administration. Paramedical staff can therefore find themselves confronted at any time, whatever their place of exercise. They must check before each administration of therapy that the patient is not allergic, but this does not protect them from an inaugural reaction. The possibility that the reaction is dazzling leaves the paramedics to have to potentially manage alone the first minutes. They are therefore offered this procedure.</w:t>
      </w:r>
    </w:p>
    <w:p w:rsidR="00D53A63" w:rsidRDefault="00D53A63" w:rsidP="00D937D9">
      <w:pPr>
        <w:jc w:val="both"/>
        <w:rPr>
          <w:sz w:val="24"/>
          <w:szCs w:val="24"/>
          <w:lang w:val="en-GB"/>
        </w:rPr>
      </w:pPr>
    </w:p>
    <w:p w:rsidR="00D53A63" w:rsidRDefault="00D53A63" w:rsidP="00D937D9">
      <w:pPr>
        <w:jc w:val="both"/>
        <w:rPr>
          <w:b/>
          <w:sz w:val="24"/>
          <w:szCs w:val="24"/>
          <w:lang w:val="en-GB"/>
        </w:rPr>
      </w:pPr>
      <w:r>
        <w:rPr>
          <w:b/>
          <w:sz w:val="24"/>
          <w:szCs w:val="24"/>
          <w:lang w:val="en-GB"/>
        </w:rPr>
        <w:t>Definition of anaphylaxis</w:t>
      </w:r>
    </w:p>
    <w:p w:rsidR="00D53A63" w:rsidRDefault="00D53A63" w:rsidP="00D937D9">
      <w:pPr>
        <w:jc w:val="both"/>
        <w:rPr>
          <w:sz w:val="24"/>
          <w:szCs w:val="24"/>
          <w:lang w:val="en-GB"/>
        </w:rPr>
      </w:pPr>
      <w:r w:rsidRPr="00D53A63">
        <w:rPr>
          <w:sz w:val="24"/>
          <w:szCs w:val="24"/>
          <w:lang w:val="en-GB"/>
        </w:rPr>
        <w:t>Anaphylaxis is a systemic, generalized, severe hypersensitivity (or allergic) reaction that can be life-threatening. It occurs after a delay of a few minutes to a few hours following exposure to a triggering factor. It is characterized by the sudden onset of upper or lower airway disease, or potentially fatal cardiovascular disease. It is usually, but not always, associated with mucocutaneous involvement. Digestive signs may also be present. The symptoms depend on the organs affected and evolve rapidly. International recommendations have agreed on the term anaphylaxis and no longer use the term "anaphylactic shock" which focuses on cardiovascular disease and is responsible for an underestimation of respiratory and digestive symptoms, causing a fault of diagnosis.</w:t>
      </w:r>
    </w:p>
    <w:p w:rsidR="00D53A63" w:rsidRPr="00D53A63" w:rsidRDefault="00D53A63" w:rsidP="00D53A63">
      <w:pPr>
        <w:jc w:val="both"/>
        <w:rPr>
          <w:sz w:val="24"/>
          <w:szCs w:val="24"/>
          <w:lang w:val="en-GB"/>
        </w:rPr>
      </w:pPr>
      <w:r w:rsidRPr="00D53A63">
        <w:rPr>
          <w:rFonts w:ascii="Segoe UI Symbol" w:hAnsi="Segoe UI Symbol" w:cs="Segoe UI Symbol"/>
          <w:sz w:val="24"/>
          <w:szCs w:val="24"/>
          <w:lang w:val="en-GB"/>
        </w:rPr>
        <w:t>➢</w:t>
      </w:r>
      <w:r w:rsidRPr="00D53A63">
        <w:rPr>
          <w:sz w:val="24"/>
          <w:szCs w:val="24"/>
          <w:lang w:val="en-GB"/>
        </w:rPr>
        <w:t xml:space="preserve"> Clinical diagnosis</w:t>
      </w:r>
    </w:p>
    <w:p w:rsidR="00D53A63" w:rsidRDefault="00D53A63" w:rsidP="00D53A63">
      <w:pPr>
        <w:jc w:val="both"/>
        <w:rPr>
          <w:sz w:val="24"/>
          <w:szCs w:val="24"/>
          <w:lang w:val="en-GB"/>
        </w:rPr>
      </w:pPr>
      <w:r w:rsidRPr="00982DAA">
        <w:rPr>
          <w:b/>
          <w:sz w:val="24"/>
          <w:szCs w:val="24"/>
          <w:lang w:val="en-GB"/>
        </w:rPr>
        <w:t>Sampson Criteria</w:t>
      </w:r>
      <w:r w:rsidRPr="00D53A63">
        <w:rPr>
          <w:sz w:val="24"/>
          <w:szCs w:val="24"/>
          <w:lang w:val="en-GB"/>
        </w:rPr>
        <w:t>: Anaphylaxis is likely when any of these three clinical situations occur</w:t>
      </w:r>
    </w:p>
    <w:p w:rsidR="00D53A63" w:rsidRPr="00D53A63" w:rsidRDefault="00982DAA" w:rsidP="00D937D9">
      <w:pPr>
        <w:jc w:val="both"/>
        <w:rPr>
          <w:sz w:val="24"/>
          <w:szCs w:val="24"/>
          <w:lang w:val="en-GB"/>
        </w:rPr>
      </w:pPr>
      <w:r w:rsidRPr="00982DAA">
        <w:rPr>
          <w:noProof/>
          <w:sz w:val="24"/>
          <w:szCs w:val="24"/>
          <w:lang w:eastAsia="fr-BE"/>
        </w:rPr>
        <w:drawing>
          <wp:inline distT="0" distB="0" distL="0" distR="0">
            <wp:extent cx="5760720" cy="293311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933114"/>
                    </a:xfrm>
                    <a:prstGeom prst="rect">
                      <a:avLst/>
                    </a:prstGeom>
                    <a:noFill/>
                    <a:ln>
                      <a:noFill/>
                    </a:ln>
                  </pic:spPr>
                </pic:pic>
              </a:graphicData>
            </a:graphic>
          </wp:inline>
        </w:drawing>
      </w:r>
    </w:p>
    <w:p w:rsidR="00D53A63" w:rsidRDefault="00982DAA" w:rsidP="00D937D9">
      <w:pPr>
        <w:jc w:val="both"/>
        <w:rPr>
          <w:b/>
          <w:sz w:val="24"/>
          <w:szCs w:val="24"/>
          <w:lang w:val="en-GB"/>
        </w:rPr>
      </w:pPr>
      <w:r>
        <w:rPr>
          <w:b/>
          <w:sz w:val="24"/>
          <w:szCs w:val="24"/>
          <w:lang w:val="en-GB"/>
        </w:rPr>
        <w:t>Severity</w:t>
      </w:r>
    </w:p>
    <w:p w:rsidR="00982DAA" w:rsidRDefault="00982DAA" w:rsidP="00D937D9">
      <w:pPr>
        <w:jc w:val="both"/>
        <w:rPr>
          <w:sz w:val="24"/>
          <w:szCs w:val="24"/>
          <w:lang w:val="en-GB"/>
        </w:rPr>
      </w:pPr>
      <w:r>
        <w:rPr>
          <w:sz w:val="24"/>
          <w:szCs w:val="24"/>
          <w:lang w:val="en-GB"/>
        </w:rPr>
        <w:t xml:space="preserve">Various classifications. </w:t>
      </w:r>
      <w:r w:rsidRPr="00982DAA">
        <w:rPr>
          <w:sz w:val="24"/>
          <w:szCs w:val="24"/>
          <w:lang w:val="en-GB"/>
        </w:rPr>
        <w:t xml:space="preserve">The best known is Ring and </w:t>
      </w:r>
      <w:proofErr w:type="spellStart"/>
      <w:r w:rsidRPr="00982DAA">
        <w:rPr>
          <w:sz w:val="24"/>
          <w:szCs w:val="24"/>
          <w:lang w:val="en-GB"/>
        </w:rPr>
        <w:t>Messmer</w:t>
      </w:r>
      <w:proofErr w:type="spellEnd"/>
      <w:r w:rsidRPr="00982DAA">
        <w:rPr>
          <w:sz w:val="24"/>
          <w:szCs w:val="24"/>
          <w:lang w:val="en-GB"/>
        </w:rPr>
        <w:t>.</w:t>
      </w:r>
    </w:p>
    <w:p w:rsidR="00982DAA" w:rsidRDefault="00982DAA" w:rsidP="00D937D9">
      <w:pPr>
        <w:jc w:val="both"/>
        <w:rPr>
          <w:sz w:val="24"/>
          <w:szCs w:val="24"/>
          <w:lang w:val="en-GB"/>
        </w:rPr>
      </w:pPr>
      <w:r w:rsidRPr="00982DAA">
        <w:rPr>
          <w:noProof/>
          <w:sz w:val="24"/>
          <w:szCs w:val="24"/>
          <w:lang w:eastAsia="fr-BE"/>
        </w:rPr>
        <w:drawing>
          <wp:inline distT="0" distB="0" distL="0" distR="0">
            <wp:extent cx="3829050" cy="236391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3991" cy="2373139"/>
                    </a:xfrm>
                    <a:prstGeom prst="rect">
                      <a:avLst/>
                    </a:prstGeom>
                    <a:noFill/>
                    <a:ln>
                      <a:noFill/>
                    </a:ln>
                  </pic:spPr>
                </pic:pic>
              </a:graphicData>
            </a:graphic>
          </wp:inline>
        </w:drawing>
      </w:r>
    </w:p>
    <w:p w:rsidR="00982DAA" w:rsidRPr="00982DAA" w:rsidRDefault="00982DAA" w:rsidP="00D937D9">
      <w:pPr>
        <w:jc w:val="both"/>
        <w:rPr>
          <w:b/>
          <w:sz w:val="24"/>
          <w:szCs w:val="24"/>
        </w:rPr>
      </w:pPr>
      <w:r w:rsidRPr="00982DAA">
        <w:rPr>
          <w:b/>
          <w:sz w:val="24"/>
          <w:szCs w:val="24"/>
        </w:rPr>
        <w:t xml:space="preserve">Support </w:t>
      </w:r>
      <w:proofErr w:type="spellStart"/>
      <w:r w:rsidRPr="00982DAA">
        <w:rPr>
          <w:b/>
          <w:sz w:val="24"/>
          <w:szCs w:val="24"/>
        </w:rPr>
        <w:t>protocol</w:t>
      </w:r>
      <w:proofErr w:type="spellEnd"/>
    </w:p>
    <w:p w:rsidR="00982DAA" w:rsidRPr="00982DAA" w:rsidRDefault="00982DAA" w:rsidP="00982DAA">
      <w:pPr>
        <w:jc w:val="both"/>
        <w:rPr>
          <w:sz w:val="24"/>
          <w:szCs w:val="24"/>
          <w:lang w:val="en-GB"/>
        </w:rPr>
      </w:pPr>
      <w:r w:rsidRPr="00982DAA">
        <w:rPr>
          <w:sz w:val="24"/>
          <w:szCs w:val="24"/>
          <w:lang w:val="en-GB"/>
        </w:rPr>
        <w:t>During a</w:t>
      </w:r>
      <w:r>
        <w:rPr>
          <w:sz w:val="24"/>
          <w:szCs w:val="24"/>
          <w:lang w:val="en-GB"/>
        </w:rPr>
        <w:t>naphylaxis in a patient during</w:t>
      </w:r>
      <w:r w:rsidRPr="00982DAA">
        <w:rPr>
          <w:sz w:val="24"/>
          <w:szCs w:val="24"/>
          <w:lang w:val="en-GB"/>
        </w:rPr>
        <w:t xml:space="preserve"> drug administration</w:t>
      </w:r>
    </w:p>
    <w:p w:rsidR="00982DAA" w:rsidRPr="00982DAA" w:rsidRDefault="00982DAA" w:rsidP="00982DAA">
      <w:pPr>
        <w:jc w:val="both"/>
        <w:rPr>
          <w:sz w:val="24"/>
          <w:szCs w:val="24"/>
          <w:lang w:val="en-GB"/>
        </w:rPr>
      </w:pPr>
      <w:r w:rsidRPr="00982DAA">
        <w:rPr>
          <w:sz w:val="24"/>
          <w:szCs w:val="24"/>
          <w:lang w:val="en-GB"/>
        </w:rPr>
        <w:t>If IV route, discontinuation of administration and removal of triggering factor</w:t>
      </w:r>
    </w:p>
    <w:p w:rsidR="00982DAA" w:rsidRPr="00982DAA" w:rsidRDefault="00982DAA" w:rsidP="00982DAA">
      <w:pPr>
        <w:jc w:val="both"/>
        <w:rPr>
          <w:sz w:val="24"/>
          <w:szCs w:val="24"/>
          <w:lang w:val="en-GB"/>
        </w:rPr>
      </w:pPr>
      <w:r w:rsidRPr="00982DAA">
        <w:rPr>
          <w:sz w:val="24"/>
          <w:szCs w:val="24"/>
          <w:lang w:val="en-GB"/>
        </w:rPr>
        <w:t>Taking vital parameters and putting in place safeguards</w:t>
      </w:r>
      <w:r>
        <w:rPr>
          <w:sz w:val="24"/>
          <w:szCs w:val="24"/>
          <w:lang w:val="en-GB"/>
        </w:rPr>
        <w:t>:</w:t>
      </w:r>
    </w:p>
    <w:p w:rsidR="00982DAA" w:rsidRPr="00982DAA" w:rsidRDefault="00982DAA" w:rsidP="00982DAA">
      <w:pPr>
        <w:pStyle w:val="Paragraphedeliste"/>
        <w:numPr>
          <w:ilvl w:val="0"/>
          <w:numId w:val="1"/>
        </w:numPr>
        <w:jc w:val="both"/>
        <w:rPr>
          <w:sz w:val="24"/>
          <w:szCs w:val="24"/>
          <w:lang w:val="en-GB"/>
        </w:rPr>
      </w:pPr>
      <w:r w:rsidRPr="00982DAA">
        <w:rPr>
          <w:sz w:val="24"/>
          <w:szCs w:val="24"/>
          <w:lang w:val="en-GB"/>
        </w:rPr>
        <w:t>Half sitting and with oxygen if desaturation</w:t>
      </w:r>
    </w:p>
    <w:p w:rsidR="00982DAA" w:rsidRPr="00982DAA" w:rsidRDefault="00982DAA" w:rsidP="00982DAA">
      <w:pPr>
        <w:pStyle w:val="Paragraphedeliste"/>
        <w:numPr>
          <w:ilvl w:val="0"/>
          <w:numId w:val="1"/>
        </w:numPr>
        <w:jc w:val="both"/>
        <w:rPr>
          <w:sz w:val="24"/>
          <w:szCs w:val="24"/>
          <w:lang w:val="en-GB"/>
        </w:rPr>
      </w:pPr>
      <w:r w:rsidRPr="00982DAA">
        <w:rPr>
          <w:sz w:val="24"/>
          <w:szCs w:val="24"/>
          <w:lang w:val="en-GB"/>
        </w:rPr>
        <w:t>Trendelenburg (elevation of lower limbs) if hypotension</w:t>
      </w:r>
    </w:p>
    <w:p w:rsidR="00982DAA" w:rsidRPr="00982DAA" w:rsidRDefault="00982DAA" w:rsidP="00982DAA">
      <w:pPr>
        <w:pStyle w:val="Paragraphedeliste"/>
        <w:numPr>
          <w:ilvl w:val="0"/>
          <w:numId w:val="1"/>
        </w:numPr>
        <w:jc w:val="both"/>
        <w:rPr>
          <w:sz w:val="24"/>
          <w:szCs w:val="24"/>
          <w:lang w:val="en-GB"/>
        </w:rPr>
      </w:pPr>
      <w:r w:rsidRPr="00982DAA">
        <w:rPr>
          <w:sz w:val="24"/>
          <w:szCs w:val="24"/>
          <w:lang w:val="en-GB"/>
        </w:rPr>
        <w:t>Permeability verification of the infusion</w:t>
      </w:r>
    </w:p>
    <w:p w:rsidR="00982DAA" w:rsidRPr="00982DAA" w:rsidRDefault="00982DAA" w:rsidP="00982DAA">
      <w:pPr>
        <w:pStyle w:val="Paragraphedeliste"/>
        <w:numPr>
          <w:ilvl w:val="0"/>
          <w:numId w:val="1"/>
        </w:numPr>
        <w:jc w:val="both"/>
        <w:rPr>
          <w:sz w:val="24"/>
          <w:szCs w:val="24"/>
          <w:lang w:val="en-GB"/>
        </w:rPr>
      </w:pPr>
      <w:r w:rsidRPr="00982DAA">
        <w:rPr>
          <w:sz w:val="24"/>
          <w:szCs w:val="24"/>
          <w:lang w:val="en-GB"/>
        </w:rPr>
        <w:t>Ask if the allergy is known and the presence of an adrenaline pen injector with the patient</w:t>
      </w:r>
    </w:p>
    <w:p w:rsidR="00982DAA" w:rsidRPr="00982DAA" w:rsidRDefault="00982DAA" w:rsidP="00982DAA">
      <w:pPr>
        <w:jc w:val="both"/>
        <w:rPr>
          <w:sz w:val="24"/>
          <w:szCs w:val="24"/>
          <w:lang w:val="en-GB"/>
        </w:rPr>
      </w:pPr>
      <w:r w:rsidRPr="00982DAA">
        <w:rPr>
          <w:sz w:val="24"/>
          <w:szCs w:val="24"/>
          <w:lang w:val="en-GB"/>
        </w:rPr>
        <w:t>Reference doctor's call: estimated severity of allergy</w:t>
      </w:r>
    </w:p>
    <w:p w:rsidR="00982DAA" w:rsidRPr="00982DAA" w:rsidRDefault="00982DAA" w:rsidP="00982DAA">
      <w:pPr>
        <w:jc w:val="both"/>
        <w:rPr>
          <w:sz w:val="24"/>
          <w:szCs w:val="24"/>
          <w:lang w:val="en-GB"/>
        </w:rPr>
      </w:pPr>
      <w:r w:rsidRPr="00982DAA">
        <w:rPr>
          <w:sz w:val="24"/>
          <w:szCs w:val="24"/>
          <w:lang w:val="en-GB"/>
        </w:rPr>
        <w:t>According to vital parameters and evolution of anaphylaxis, bring emergency cart and adrenaline closer</w:t>
      </w:r>
    </w:p>
    <w:p w:rsidR="00D937D9" w:rsidRDefault="00982DAA" w:rsidP="00982DAA">
      <w:pPr>
        <w:jc w:val="both"/>
        <w:rPr>
          <w:sz w:val="24"/>
          <w:szCs w:val="24"/>
          <w:lang w:val="en-GB"/>
        </w:rPr>
      </w:pPr>
      <w:r w:rsidRPr="00982DAA">
        <w:rPr>
          <w:sz w:val="24"/>
          <w:szCs w:val="24"/>
          <w:lang w:val="en-GB"/>
        </w:rPr>
        <w:t>Stay with the patient to reassure him</w:t>
      </w:r>
      <w:bookmarkStart w:id="0" w:name="_GoBack"/>
      <w:bookmarkEnd w:id="0"/>
    </w:p>
    <w:p w:rsidR="00982DAA" w:rsidRPr="00982DAA" w:rsidRDefault="00982DAA" w:rsidP="00982DAA">
      <w:pPr>
        <w:jc w:val="both"/>
        <w:rPr>
          <w:sz w:val="24"/>
          <w:szCs w:val="24"/>
          <w:lang w:val="en-GB"/>
        </w:rPr>
      </w:pPr>
      <w:r w:rsidRPr="00982DAA">
        <w:rPr>
          <w:noProof/>
          <w:sz w:val="24"/>
          <w:szCs w:val="24"/>
          <w:lang w:eastAsia="fr-BE"/>
        </w:rPr>
        <w:drawing>
          <wp:inline distT="0" distB="0" distL="0" distR="0">
            <wp:extent cx="5638800" cy="7100711"/>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2224" cy="7105023"/>
                    </a:xfrm>
                    <a:prstGeom prst="rect">
                      <a:avLst/>
                    </a:prstGeom>
                    <a:noFill/>
                    <a:ln>
                      <a:noFill/>
                    </a:ln>
                  </pic:spPr>
                </pic:pic>
              </a:graphicData>
            </a:graphic>
          </wp:inline>
        </w:drawing>
      </w:r>
    </w:p>
    <w:p w:rsidR="00EB6872" w:rsidRPr="00982DAA" w:rsidRDefault="00EB6872" w:rsidP="001100D9">
      <w:pPr>
        <w:jc w:val="both"/>
        <w:rPr>
          <w:b/>
          <w:sz w:val="24"/>
          <w:szCs w:val="24"/>
          <w:lang w:val="en-GB"/>
        </w:rPr>
      </w:pPr>
    </w:p>
    <w:sectPr w:rsidR="00EB6872" w:rsidRPr="00982DA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0D9" w:rsidRDefault="001100D9" w:rsidP="001100D9">
      <w:pPr>
        <w:spacing w:after="0" w:line="240" w:lineRule="auto"/>
      </w:pPr>
      <w:r>
        <w:separator/>
      </w:r>
    </w:p>
  </w:endnote>
  <w:endnote w:type="continuationSeparator" w:id="0">
    <w:p w:rsidR="001100D9" w:rsidRDefault="001100D9" w:rsidP="00110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D9" w:rsidRDefault="001100D9" w:rsidP="001100D9">
    <w:pPr>
      <w:pStyle w:val="Pieddepage"/>
      <w:jc w:val="center"/>
    </w:pPr>
    <w:r>
      <w:rPr>
        <w:noProof/>
        <w:lang w:eastAsia="fr-BE"/>
      </w:rPr>
      <w:drawing>
        <wp:inline distT="0" distB="0" distL="0" distR="0">
          <wp:extent cx="1300664" cy="3714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rasmus+ simple.jpg"/>
                  <pic:cNvPicPr/>
                </pic:nvPicPr>
                <pic:blipFill>
                  <a:blip r:embed="rId1">
                    <a:extLst>
                      <a:ext uri="{28A0092B-C50C-407E-A947-70E740481C1C}">
                        <a14:useLocalDpi xmlns:a14="http://schemas.microsoft.com/office/drawing/2010/main" val="0"/>
                      </a:ext>
                    </a:extLst>
                  </a:blip>
                  <a:stretch>
                    <a:fillRect/>
                  </a:stretch>
                </pic:blipFill>
                <pic:spPr>
                  <a:xfrm>
                    <a:off x="0" y="0"/>
                    <a:ext cx="1312117" cy="37474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0D9" w:rsidRDefault="001100D9" w:rsidP="001100D9">
      <w:pPr>
        <w:spacing w:after="0" w:line="240" w:lineRule="auto"/>
      </w:pPr>
      <w:r>
        <w:separator/>
      </w:r>
    </w:p>
  </w:footnote>
  <w:footnote w:type="continuationSeparator" w:id="0">
    <w:p w:rsidR="001100D9" w:rsidRDefault="001100D9" w:rsidP="00110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31918"/>
    <w:multiLevelType w:val="hybridMultilevel"/>
    <w:tmpl w:val="C62ACE68"/>
    <w:lvl w:ilvl="0" w:tplc="33B2B5C4">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95"/>
    <w:rsid w:val="001100D9"/>
    <w:rsid w:val="00856680"/>
    <w:rsid w:val="00982DAA"/>
    <w:rsid w:val="009F0895"/>
    <w:rsid w:val="00D53A63"/>
    <w:rsid w:val="00D937D9"/>
    <w:rsid w:val="00EB68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EA67588-EE8A-44C8-8CB4-2D72D0A9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00D9"/>
    <w:pPr>
      <w:tabs>
        <w:tab w:val="center" w:pos="4536"/>
        <w:tab w:val="right" w:pos="9072"/>
      </w:tabs>
      <w:spacing w:after="0" w:line="240" w:lineRule="auto"/>
    </w:pPr>
  </w:style>
  <w:style w:type="character" w:customStyle="1" w:styleId="En-tteCar">
    <w:name w:val="En-tête Car"/>
    <w:basedOn w:val="Policepardfaut"/>
    <w:link w:val="En-tte"/>
    <w:uiPriority w:val="99"/>
    <w:rsid w:val="001100D9"/>
  </w:style>
  <w:style w:type="paragraph" w:styleId="Pieddepage">
    <w:name w:val="footer"/>
    <w:basedOn w:val="Normal"/>
    <w:link w:val="PieddepageCar"/>
    <w:uiPriority w:val="99"/>
    <w:unhideWhenUsed/>
    <w:rsid w:val="001100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00D9"/>
  </w:style>
  <w:style w:type="paragraph" w:customStyle="1" w:styleId="Default">
    <w:name w:val="Default"/>
    <w:rsid w:val="00982DAA"/>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98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463</Words>
  <Characters>2547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Gazzotti</dc:creator>
  <cp:keywords/>
  <dc:description/>
  <cp:lastModifiedBy>Pauline Gazzotti</cp:lastModifiedBy>
  <cp:revision>4</cp:revision>
  <dcterms:created xsi:type="dcterms:W3CDTF">2018-12-06T12:23:00Z</dcterms:created>
  <dcterms:modified xsi:type="dcterms:W3CDTF">2018-12-06T14:53:00Z</dcterms:modified>
</cp:coreProperties>
</file>